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123" w:rsidRPr="00432123" w:rsidRDefault="00432123" w:rsidP="00432123">
      <w:pPr>
        <w:spacing w:before="100" w:beforeAutospacing="1" w:after="100" w:afterAutospacing="1" w:line="240" w:lineRule="auto"/>
        <w:outlineLvl w:val="0"/>
        <w:rPr>
          <w:rFonts w:ascii="Verdana" w:eastAsia="Times New Roman" w:hAnsi="Verdana" w:cs="Times New Roman"/>
          <w:b/>
          <w:bCs/>
          <w:kern w:val="36"/>
          <w:sz w:val="24"/>
          <w:szCs w:val="24"/>
        </w:rPr>
      </w:pPr>
      <w:r w:rsidRPr="00432123">
        <w:rPr>
          <w:rFonts w:ascii="Verdana" w:eastAsia="Times New Roman" w:hAnsi="Verdana" w:cs="Times New Roman"/>
          <w:b/>
          <w:bCs/>
          <w:kern w:val="36"/>
          <w:sz w:val="24"/>
          <w:szCs w:val="24"/>
        </w:rPr>
        <w:t>Vertical Reporting Framework Data Collector - Revision History</w:t>
      </w:r>
    </w:p>
    <w:p w:rsidR="00432123" w:rsidRPr="00432123" w:rsidRDefault="00432123" w:rsidP="00432123">
      <w:pPr>
        <w:spacing w:before="100" w:beforeAutospacing="1" w:after="100" w:afterAutospacing="1" w:line="240" w:lineRule="auto"/>
        <w:outlineLvl w:val="0"/>
        <w:rPr>
          <w:rFonts w:ascii="Verdana" w:eastAsia="Times New Roman" w:hAnsi="Verdana" w:cs="Times New Roman"/>
          <w:b/>
          <w:bCs/>
          <w:kern w:val="36"/>
          <w:sz w:val="24"/>
          <w:szCs w:val="24"/>
        </w:rPr>
      </w:pPr>
      <w:r w:rsidRPr="00432123">
        <w:rPr>
          <w:rFonts w:ascii="Verdana" w:eastAsia="Times New Roman" w:hAnsi="Verdana" w:cs="Times New Roman"/>
          <w:b/>
          <w:bCs/>
          <w:kern w:val="36"/>
          <w:sz w:val="24"/>
          <w:szCs w:val="24"/>
        </w:rPr>
        <w:t>Release 2.1.7</w:t>
      </w:r>
    </w:p>
    <w:p w:rsidR="00432123" w:rsidRPr="00432123" w:rsidRDefault="00432123" w:rsidP="00432123">
      <w:pPr>
        <w:spacing w:before="100" w:beforeAutospacing="1" w:after="100" w:afterAutospacing="1" w:line="240" w:lineRule="auto"/>
        <w:outlineLvl w:val="1"/>
        <w:rPr>
          <w:rFonts w:ascii="Verdana" w:eastAsia="Times New Roman" w:hAnsi="Verdana" w:cs="Times New Roman"/>
          <w:b/>
          <w:bCs/>
          <w:sz w:val="20"/>
          <w:szCs w:val="20"/>
        </w:rPr>
      </w:pPr>
      <w:r w:rsidRPr="00432123">
        <w:rPr>
          <w:rFonts w:ascii="Verdana" w:eastAsia="Times New Roman" w:hAnsi="Verdana" w:cs="Times New Roman"/>
          <w:b/>
          <w:bCs/>
          <w:sz w:val="20"/>
          <w:szCs w:val="20"/>
        </w:rPr>
        <w:t>New Features &amp; Enhancements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9165"/>
      </w:tblGrid>
      <w:tr w:rsidR="00432123" w:rsidRPr="00432123" w:rsidTr="00432123">
        <w:trPr>
          <w:tblCellSpacing w:w="15" w:type="dxa"/>
        </w:trPr>
        <w:tc>
          <w:tcPr>
            <w:tcW w:w="0" w:type="auto"/>
            <w:gridSpan w:val="2"/>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7 new features and enhancements are included in this release.</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Support separating Level 2 Report CSV files by Building IRN or by another column</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This release allows a user to separate a Level 2 Report's CSV files by Building IRN, or by another column. A separate CSV file </w:t>
            </w:r>
            <w:proofErr w:type="gramStart"/>
            <w:r w:rsidRPr="00432123">
              <w:rPr>
                <w:rFonts w:ascii="Verdana" w:eastAsia="Times New Roman" w:hAnsi="Verdana" w:cs="Times New Roman"/>
                <w:color w:val="696969"/>
                <w:sz w:val="16"/>
                <w:szCs w:val="16"/>
              </w:rPr>
              <w:t>is created</w:t>
            </w:r>
            <w:proofErr w:type="gramEnd"/>
            <w:r w:rsidRPr="00432123">
              <w:rPr>
                <w:rFonts w:ascii="Verdana" w:eastAsia="Times New Roman" w:hAnsi="Verdana" w:cs="Times New Roman"/>
                <w:color w:val="696969"/>
                <w:sz w:val="16"/>
                <w:szCs w:val="16"/>
              </w:rPr>
              <w:t xml:space="preserve"> for each Building IRN. ODE controls for each Level 2 Report which other column </w:t>
            </w:r>
            <w:proofErr w:type="gramStart"/>
            <w:r w:rsidRPr="00432123">
              <w:rPr>
                <w:rFonts w:ascii="Verdana" w:eastAsia="Times New Roman" w:hAnsi="Verdana" w:cs="Times New Roman"/>
                <w:color w:val="696969"/>
                <w:sz w:val="16"/>
                <w:szCs w:val="16"/>
              </w:rPr>
              <w:t>can be used</w:t>
            </w:r>
            <w:proofErr w:type="gramEnd"/>
            <w:r w:rsidRPr="00432123">
              <w:rPr>
                <w:rFonts w:ascii="Verdana" w:eastAsia="Times New Roman" w:hAnsi="Verdana" w:cs="Times New Roman"/>
                <w:color w:val="696969"/>
                <w:sz w:val="16"/>
                <w:szCs w:val="16"/>
              </w:rPr>
              <w:t>, for separating Level 2 Reports content into separate files.</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#VRF-275.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Add Student Name to distributed files</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For the files distributed by ODE, when applicable, the Data Collector adds the Student Name, to the file, based on the student's SSID.</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#VRF-621.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On the Received Files Details page add an option of showing only the latest files</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This release addresses the issue where once an LEA corrected all the issues, and a file reporting such issues was not distributed to this LEA, the latest version of this </w:t>
            </w:r>
            <w:proofErr w:type="gramStart"/>
            <w:r w:rsidRPr="00432123">
              <w:rPr>
                <w:rFonts w:ascii="Verdana" w:eastAsia="Times New Roman" w:hAnsi="Verdana" w:cs="Times New Roman"/>
                <w:color w:val="696969"/>
                <w:sz w:val="16"/>
                <w:szCs w:val="16"/>
              </w:rPr>
              <w:t>file which</w:t>
            </w:r>
            <w:proofErr w:type="gramEnd"/>
            <w:r w:rsidRPr="00432123">
              <w:rPr>
                <w:rFonts w:ascii="Verdana" w:eastAsia="Times New Roman" w:hAnsi="Verdana" w:cs="Times New Roman"/>
                <w:color w:val="696969"/>
                <w:sz w:val="16"/>
                <w:szCs w:val="16"/>
              </w:rPr>
              <w:t xml:space="preserve"> had been distributed, was still shown on the Received Files Details page for the LEA. This release offers an option to hide such files -- only the files actually generated for the latest distribution </w:t>
            </w:r>
            <w:proofErr w:type="gramStart"/>
            <w:r w:rsidRPr="00432123">
              <w:rPr>
                <w:rFonts w:ascii="Verdana" w:eastAsia="Times New Roman" w:hAnsi="Verdana" w:cs="Times New Roman"/>
                <w:color w:val="696969"/>
                <w:sz w:val="16"/>
                <w:szCs w:val="16"/>
              </w:rPr>
              <w:t>will be shown</w:t>
            </w:r>
            <w:proofErr w:type="gramEnd"/>
            <w:r w:rsidRPr="00432123">
              <w:rPr>
                <w:rFonts w:ascii="Verdana" w:eastAsia="Times New Roman" w:hAnsi="Verdana" w:cs="Times New Roman"/>
                <w:color w:val="696969"/>
                <w:sz w:val="16"/>
                <w:szCs w:val="16"/>
              </w:rPr>
              <w:t>.</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#VRF-613.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Include any attached files in the Submissions.zip</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When a user submits a collection, the Data Collector creates the Submisssions.zip file as a record of all the </w:t>
            </w:r>
            <w:proofErr w:type="gramStart"/>
            <w:r w:rsidRPr="00432123">
              <w:rPr>
                <w:rFonts w:ascii="Verdana" w:eastAsia="Times New Roman" w:hAnsi="Verdana" w:cs="Times New Roman"/>
                <w:color w:val="696969"/>
                <w:sz w:val="16"/>
                <w:szCs w:val="16"/>
              </w:rPr>
              <w:t>data which</w:t>
            </w:r>
            <w:proofErr w:type="gramEnd"/>
            <w:r w:rsidRPr="00432123">
              <w:rPr>
                <w:rFonts w:ascii="Verdana" w:eastAsia="Times New Roman" w:hAnsi="Verdana" w:cs="Times New Roman"/>
                <w:color w:val="696969"/>
                <w:sz w:val="16"/>
                <w:szCs w:val="16"/>
              </w:rPr>
              <w:t xml:space="preserve"> were submitted to ODE. Until this release any files attached to the submission </w:t>
            </w:r>
            <w:proofErr w:type="gramStart"/>
            <w:r w:rsidRPr="00432123">
              <w:rPr>
                <w:rFonts w:ascii="Verdana" w:eastAsia="Times New Roman" w:hAnsi="Verdana" w:cs="Times New Roman"/>
                <w:color w:val="696969"/>
                <w:sz w:val="16"/>
                <w:szCs w:val="16"/>
              </w:rPr>
              <w:t>was left out</w:t>
            </w:r>
            <w:proofErr w:type="gramEnd"/>
            <w:r w:rsidRPr="00432123">
              <w:rPr>
                <w:rFonts w:ascii="Verdana" w:eastAsia="Times New Roman" w:hAnsi="Verdana" w:cs="Times New Roman"/>
                <w:color w:val="696969"/>
                <w:sz w:val="16"/>
                <w:szCs w:val="16"/>
              </w:rPr>
              <w:t xml:space="preserve">. This release includes any file attachments in the Submissions.zip file. For Collection Requests for which only a file </w:t>
            </w:r>
            <w:proofErr w:type="gramStart"/>
            <w:r w:rsidRPr="00432123">
              <w:rPr>
                <w:rFonts w:ascii="Verdana" w:eastAsia="Times New Roman" w:hAnsi="Verdana" w:cs="Times New Roman"/>
                <w:color w:val="696969"/>
                <w:sz w:val="16"/>
                <w:szCs w:val="16"/>
              </w:rPr>
              <w:t>is sent</w:t>
            </w:r>
            <w:proofErr w:type="gramEnd"/>
            <w:r w:rsidRPr="00432123">
              <w:rPr>
                <w:rFonts w:ascii="Verdana" w:eastAsia="Times New Roman" w:hAnsi="Verdana" w:cs="Times New Roman"/>
                <w:color w:val="696969"/>
                <w:sz w:val="16"/>
                <w:szCs w:val="16"/>
              </w:rPr>
              <w:t xml:space="preserve"> -- no data is collected -- the file attachment(s) constitute(s) the entire content of the Submissions.zip file.</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#VRF-600.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Automatically adjust the table definition at the Data Collector, for distributed tables</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When ODE changes the schema of a distributed table, or adds an index to such a table, this release automatically adjusts the schema and indexes of the distributed table at the Data Collector. This feature is dependent on an upgrade of the Report Collector, coming later this year.</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#VRF-606.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In Collection Request drop-downs show the collection requests with most recent first</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Previously the collection requests </w:t>
            </w:r>
            <w:proofErr w:type="gramStart"/>
            <w:r w:rsidRPr="00432123">
              <w:rPr>
                <w:rFonts w:ascii="Verdana" w:eastAsia="Times New Roman" w:hAnsi="Verdana" w:cs="Times New Roman"/>
                <w:color w:val="696969"/>
                <w:sz w:val="16"/>
                <w:szCs w:val="16"/>
              </w:rPr>
              <w:t>were listed</w:t>
            </w:r>
            <w:proofErr w:type="gramEnd"/>
            <w:r w:rsidRPr="00432123">
              <w:rPr>
                <w:rFonts w:ascii="Verdana" w:eastAsia="Times New Roman" w:hAnsi="Verdana" w:cs="Times New Roman"/>
                <w:color w:val="696969"/>
                <w:sz w:val="16"/>
                <w:szCs w:val="16"/>
              </w:rPr>
              <w:t xml:space="preserve"> in chronological order (oldest first).</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#VRF-658.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Show the list of Validation Tables and Level 2 Report Tables in alternating colors</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Previously these pages listed the distribution tables with the same light blue color background. This release alternates the row's background color between light yellow and white, making it easier to read across each row.</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#VRF-659. Addressed in 2.1.7)</w:t>
            </w:r>
          </w:p>
        </w:tc>
      </w:tr>
    </w:tbl>
    <w:p w:rsidR="00432123" w:rsidRPr="00432123" w:rsidRDefault="00432123" w:rsidP="00432123">
      <w:pPr>
        <w:spacing w:before="100" w:beforeAutospacing="1" w:after="100" w:afterAutospacing="1" w:line="240" w:lineRule="auto"/>
        <w:outlineLvl w:val="1"/>
        <w:rPr>
          <w:rFonts w:ascii="Verdana" w:eastAsia="Times New Roman" w:hAnsi="Verdana" w:cs="Times New Roman"/>
          <w:b/>
          <w:bCs/>
          <w:sz w:val="20"/>
          <w:szCs w:val="20"/>
        </w:rPr>
      </w:pPr>
      <w:r w:rsidRPr="00432123">
        <w:rPr>
          <w:rFonts w:ascii="Verdana" w:eastAsia="Times New Roman" w:hAnsi="Verdana" w:cs="Times New Roman"/>
          <w:b/>
          <w:bCs/>
          <w:sz w:val="20"/>
          <w:szCs w:val="20"/>
        </w:rPr>
        <w:lastRenderedPageBreak/>
        <w:t>Fixes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9165"/>
      </w:tblGrid>
      <w:tr w:rsidR="00432123" w:rsidRPr="00432123" w:rsidTr="00432123">
        <w:trPr>
          <w:tblCellSpacing w:w="15" w:type="dxa"/>
        </w:trPr>
        <w:tc>
          <w:tcPr>
            <w:tcW w:w="0" w:type="auto"/>
            <w:gridSpan w:val="2"/>
            <w:vAlign w:val="center"/>
            <w:hideMark/>
          </w:tcPr>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5 defects </w:t>
            </w:r>
            <w:proofErr w:type="gramStart"/>
            <w:r w:rsidRPr="00432123">
              <w:rPr>
                <w:rFonts w:ascii="Verdana" w:eastAsia="Times New Roman" w:hAnsi="Verdana" w:cs="Times New Roman"/>
                <w:color w:val="696969"/>
                <w:sz w:val="16"/>
                <w:szCs w:val="16"/>
              </w:rPr>
              <w:t>are addressed</w:t>
            </w:r>
            <w:proofErr w:type="gramEnd"/>
            <w:r w:rsidRPr="00432123">
              <w:rPr>
                <w:rFonts w:ascii="Verdana" w:eastAsia="Times New Roman" w:hAnsi="Verdana" w:cs="Times New Roman"/>
                <w:color w:val="696969"/>
                <w:sz w:val="16"/>
                <w:szCs w:val="16"/>
              </w:rPr>
              <w:t xml:space="preserve"> by this release.</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after="0" w:line="240" w:lineRule="auto"/>
              <w:rPr>
                <w:rFonts w:ascii="Times New Roman" w:eastAsia="Times New Roman" w:hAnsi="Times New Roman" w:cs="Times New Roman"/>
                <w:sz w:val="20"/>
                <w:szCs w:val="20"/>
              </w:rPr>
            </w:pP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Times New Roman" w:eastAsia="Times New Roman" w:hAnsi="Times New Roman" w:cs="Times New Roman"/>
                <w:sz w:val="20"/>
                <w:szCs w:val="20"/>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Collection Requests for which the submission period has not started, do not show up in the Progress tab</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While the Data Collector allows collecting and preparing data for a Collection Request before </w:t>
            </w:r>
            <w:proofErr w:type="gramStart"/>
            <w:r w:rsidRPr="00432123">
              <w:rPr>
                <w:rFonts w:ascii="Verdana" w:eastAsia="Times New Roman" w:hAnsi="Verdana" w:cs="Times New Roman"/>
                <w:color w:val="696969"/>
                <w:sz w:val="16"/>
                <w:szCs w:val="16"/>
              </w:rPr>
              <w:t>a such</w:t>
            </w:r>
            <w:proofErr w:type="gramEnd"/>
            <w:r w:rsidRPr="00432123">
              <w:rPr>
                <w:rFonts w:ascii="Verdana" w:eastAsia="Times New Roman" w:hAnsi="Verdana" w:cs="Times New Roman"/>
                <w:color w:val="696969"/>
                <w:sz w:val="16"/>
                <w:szCs w:val="16"/>
              </w:rPr>
              <w:t xml:space="preserve"> a collection could be submitted, the Progress tab did not show such collection. This </w:t>
            </w:r>
            <w:proofErr w:type="gramStart"/>
            <w:r w:rsidRPr="00432123">
              <w:rPr>
                <w:rFonts w:ascii="Verdana" w:eastAsia="Times New Roman" w:hAnsi="Verdana" w:cs="Times New Roman"/>
                <w:color w:val="696969"/>
                <w:sz w:val="16"/>
                <w:szCs w:val="16"/>
              </w:rPr>
              <w:t>is fixed</w:t>
            </w:r>
            <w:proofErr w:type="gramEnd"/>
            <w:r w:rsidRPr="00432123">
              <w:rPr>
                <w:rFonts w:ascii="Verdana" w:eastAsia="Times New Roman" w:hAnsi="Verdana" w:cs="Times New Roman"/>
                <w:color w:val="696969"/>
                <w:sz w:val="16"/>
                <w:szCs w:val="16"/>
              </w:rPr>
              <w:t xml:space="preserve"> in the current release.</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#VRF-593.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Submissions tab ignores submission extensions for individual LEAs</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The Data Collector allows ODE to extend the Collection Request's submission period, for individual LEAs. The Submissions tab was ignoring these individual extensions -- an LEA user </w:t>
            </w:r>
            <w:proofErr w:type="gramStart"/>
            <w:r w:rsidRPr="00432123">
              <w:rPr>
                <w:rFonts w:ascii="Verdana" w:eastAsia="Times New Roman" w:hAnsi="Verdana" w:cs="Times New Roman"/>
                <w:color w:val="696969"/>
                <w:sz w:val="16"/>
                <w:szCs w:val="16"/>
              </w:rPr>
              <w:t>was forced</w:t>
            </w:r>
            <w:proofErr w:type="gramEnd"/>
            <w:r w:rsidRPr="00432123">
              <w:rPr>
                <w:rFonts w:ascii="Verdana" w:eastAsia="Times New Roman" w:hAnsi="Verdana" w:cs="Times New Roman"/>
                <w:color w:val="696969"/>
                <w:sz w:val="16"/>
                <w:szCs w:val="16"/>
              </w:rPr>
              <w:t xml:space="preserve"> to check the </w:t>
            </w:r>
            <w:r w:rsidRPr="00432123">
              <w:rPr>
                <w:rFonts w:ascii="Verdana" w:eastAsia="Times New Roman" w:hAnsi="Verdana" w:cs="Times New Roman"/>
                <w:i/>
                <w:iCs/>
                <w:color w:val="696969"/>
                <w:sz w:val="16"/>
                <w:szCs w:val="16"/>
              </w:rPr>
              <w:t>Show closed collections</w:t>
            </w:r>
            <w:r w:rsidRPr="00432123">
              <w:rPr>
                <w:rFonts w:ascii="Verdana" w:eastAsia="Times New Roman" w:hAnsi="Verdana" w:cs="Times New Roman"/>
                <w:color w:val="696969"/>
                <w:sz w:val="16"/>
                <w:szCs w:val="16"/>
              </w:rPr>
              <w:t xml:space="preserve"> checkbox to see such submissions, even though the collection request was not closed for this LEA. In the current </w:t>
            </w:r>
            <w:proofErr w:type="gramStart"/>
            <w:r w:rsidRPr="00432123">
              <w:rPr>
                <w:rFonts w:ascii="Verdana" w:eastAsia="Times New Roman" w:hAnsi="Verdana" w:cs="Times New Roman"/>
                <w:color w:val="696969"/>
                <w:sz w:val="16"/>
                <w:szCs w:val="16"/>
              </w:rPr>
              <w:t>release</w:t>
            </w:r>
            <w:proofErr w:type="gramEnd"/>
            <w:r w:rsidRPr="00432123">
              <w:rPr>
                <w:rFonts w:ascii="Verdana" w:eastAsia="Times New Roman" w:hAnsi="Verdana" w:cs="Times New Roman"/>
                <w:color w:val="696969"/>
                <w:sz w:val="16"/>
                <w:szCs w:val="16"/>
              </w:rPr>
              <w:t xml:space="preserve"> the submission extensions are taken into account, on the Submissions tab.</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#VRF-604.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Attachment only Collection Requests show up on the first tab, after the submission period expired</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When the submission period expired for an attachment only Collection Request, the Collection </w:t>
            </w:r>
            <w:proofErr w:type="spellStart"/>
            <w:r w:rsidRPr="00432123">
              <w:rPr>
                <w:rFonts w:ascii="Verdana" w:eastAsia="Times New Roman" w:hAnsi="Verdana" w:cs="Times New Roman"/>
                <w:color w:val="696969"/>
                <w:sz w:val="16"/>
                <w:szCs w:val="16"/>
              </w:rPr>
              <w:t>Reequest</w:t>
            </w:r>
            <w:proofErr w:type="spellEnd"/>
            <w:r w:rsidRPr="00432123">
              <w:rPr>
                <w:rFonts w:ascii="Verdana" w:eastAsia="Times New Roman" w:hAnsi="Verdana" w:cs="Times New Roman"/>
                <w:color w:val="696969"/>
                <w:sz w:val="16"/>
                <w:szCs w:val="16"/>
              </w:rPr>
              <w:t xml:space="preserve"> still appeared in the Collection Requests tab (even when the </w:t>
            </w:r>
            <w:r w:rsidRPr="00432123">
              <w:rPr>
                <w:rFonts w:ascii="Verdana" w:eastAsia="Times New Roman" w:hAnsi="Verdana" w:cs="Times New Roman"/>
                <w:i/>
                <w:iCs/>
                <w:color w:val="696969"/>
                <w:sz w:val="16"/>
                <w:szCs w:val="16"/>
              </w:rPr>
              <w:t>Show closed collections</w:t>
            </w:r>
            <w:r w:rsidRPr="00432123">
              <w:rPr>
                <w:rFonts w:ascii="Verdana" w:eastAsia="Times New Roman" w:hAnsi="Verdana" w:cs="Times New Roman"/>
                <w:color w:val="696969"/>
                <w:sz w:val="16"/>
                <w:szCs w:val="16"/>
              </w:rPr>
              <w:t xml:space="preserve"> checkbox </w:t>
            </w:r>
            <w:proofErr w:type="gramStart"/>
            <w:r w:rsidRPr="00432123">
              <w:rPr>
                <w:rFonts w:ascii="Verdana" w:eastAsia="Times New Roman" w:hAnsi="Verdana" w:cs="Times New Roman"/>
                <w:color w:val="696969"/>
                <w:sz w:val="16"/>
                <w:szCs w:val="16"/>
              </w:rPr>
              <w:t>was not checked</w:t>
            </w:r>
            <w:proofErr w:type="gramEnd"/>
            <w:r w:rsidRPr="00432123">
              <w:rPr>
                <w:rFonts w:ascii="Verdana" w:eastAsia="Times New Roman" w:hAnsi="Verdana" w:cs="Times New Roman"/>
                <w:color w:val="696969"/>
                <w:sz w:val="16"/>
                <w:szCs w:val="16"/>
              </w:rPr>
              <w:t xml:space="preserve">). This release treats attachment only Collection Requests the same way as Collection </w:t>
            </w:r>
            <w:proofErr w:type="gramStart"/>
            <w:r w:rsidRPr="00432123">
              <w:rPr>
                <w:rFonts w:ascii="Verdana" w:eastAsia="Times New Roman" w:hAnsi="Verdana" w:cs="Times New Roman"/>
                <w:color w:val="696969"/>
                <w:sz w:val="16"/>
                <w:szCs w:val="16"/>
              </w:rPr>
              <w:t>Requests which</w:t>
            </w:r>
            <w:proofErr w:type="gramEnd"/>
            <w:r w:rsidRPr="00432123">
              <w:rPr>
                <w:rFonts w:ascii="Verdana" w:eastAsia="Times New Roman" w:hAnsi="Verdana" w:cs="Times New Roman"/>
                <w:color w:val="696969"/>
                <w:sz w:val="16"/>
                <w:szCs w:val="16"/>
              </w:rPr>
              <w:t xml:space="preserve"> collect data -- they are excluded from the Collection Requests tab, unless the </w:t>
            </w:r>
            <w:r w:rsidRPr="00432123">
              <w:rPr>
                <w:rFonts w:ascii="Verdana" w:eastAsia="Times New Roman" w:hAnsi="Verdana" w:cs="Times New Roman"/>
                <w:i/>
                <w:iCs/>
                <w:color w:val="696969"/>
                <w:sz w:val="16"/>
                <w:szCs w:val="16"/>
              </w:rPr>
              <w:t>Show closed collections</w:t>
            </w:r>
            <w:r w:rsidRPr="00432123">
              <w:rPr>
                <w:rFonts w:ascii="Verdana" w:eastAsia="Times New Roman" w:hAnsi="Verdana" w:cs="Times New Roman"/>
                <w:color w:val="696969"/>
                <w:sz w:val="16"/>
                <w:szCs w:val="16"/>
              </w:rPr>
              <w:t> checkbox is checked.</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#VRF-603.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No error shown at the Data Collector when a submission fails because one of the records contains an invalid character</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When a record in the collected data contained a </w:t>
            </w:r>
            <w:proofErr w:type="gramStart"/>
            <w:r w:rsidRPr="00432123">
              <w:rPr>
                <w:rFonts w:ascii="Verdana" w:eastAsia="Times New Roman" w:hAnsi="Verdana" w:cs="Times New Roman"/>
                <w:color w:val="696969"/>
                <w:sz w:val="16"/>
                <w:szCs w:val="16"/>
              </w:rPr>
              <w:t>character which caused an XML parse</w:t>
            </w:r>
            <w:proofErr w:type="gramEnd"/>
            <w:r w:rsidRPr="00432123">
              <w:rPr>
                <w:rFonts w:ascii="Verdana" w:eastAsia="Times New Roman" w:hAnsi="Verdana" w:cs="Times New Roman"/>
                <w:color w:val="696969"/>
                <w:sz w:val="16"/>
                <w:szCs w:val="16"/>
              </w:rPr>
              <w:t xml:space="preserve"> error at the Report Collector, there was no indication at the Data Collector that the submission failed. </w:t>
            </w:r>
            <w:proofErr w:type="gramStart"/>
            <w:r w:rsidRPr="00432123">
              <w:rPr>
                <w:rFonts w:ascii="Verdana" w:eastAsia="Times New Roman" w:hAnsi="Verdana" w:cs="Times New Roman"/>
                <w:color w:val="696969"/>
                <w:sz w:val="16"/>
                <w:szCs w:val="16"/>
              </w:rPr>
              <w:t>Instead</w:t>
            </w:r>
            <w:proofErr w:type="gramEnd"/>
            <w:r w:rsidRPr="00432123">
              <w:rPr>
                <w:rFonts w:ascii="Verdana" w:eastAsia="Times New Roman" w:hAnsi="Verdana" w:cs="Times New Roman"/>
                <w:color w:val="696969"/>
                <w:sz w:val="16"/>
                <w:szCs w:val="16"/>
              </w:rPr>
              <w:t xml:space="preserve"> it appeared that the collection had been submitted, and mysteriously it had never been processed at the Report Collector. This release reports the invalid character(s) as a Collection </w:t>
            </w:r>
            <w:proofErr w:type="spellStart"/>
            <w:r w:rsidRPr="00432123">
              <w:rPr>
                <w:rFonts w:ascii="Verdana" w:eastAsia="Times New Roman" w:hAnsi="Verdana" w:cs="Times New Roman"/>
                <w:color w:val="696969"/>
                <w:sz w:val="16"/>
                <w:szCs w:val="16"/>
              </w:rPr>
              <w:t>Error</w:t>
            </w:r>
            <w:proofErr w:type="gramStart"/>
            <w:r w:rsidRPr="00432123">
              <w:rPr>
                <w:rFonts w:ascii="Verdana" w:eastAsia="Times New Roman" w:hAnsi="Verdana" w:cs="Times New Roman"/>
                <w:color w:val="696969"/>
                <w:sz w:val="16"/>
                <w:szCs w:val="16"/>
              </w:rPr>
              <w:t>,on</w:t>
            </w:r>
            <w:proofErr w:type="spellEnd"/>
            <w:proofErr w:type="gramEnd"/>
            <w:r w:rsidRPr="00432123">
              <w:rPr>
                <w:rFonts w:ascii="Verdana" w:eastAsia="Times New Roman" w:hAnsi="Verdana" w:cs="Times New Roman"/>
                <w:color w:val="696969"/>
                <w:sz w:val="16"/>
                <w:szCs w:val="16"/>
              </w:rPr>
              <w:t xml:space="preserve"> the Errors &amp; Warnings page, indicating which field of which record contains an invalid XML character.</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#VRF-593. Addressed in 2.1.7)</w:t>
            </w:r>
          </w:p>
        </w:tc>
      </w:tr>
      <w:tr w:rsidR="00432123" w:rsidRPr="00432123" w:rsidTr="00432123">
        <w:trPr>
          <w:tblCellSpacing w:w="15" w:type="dxa"/>
        </w:trPr>
        <w:tc>
          <w:tcPr>
            <w:tcW w:w="150" w:type="dxa"/>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b/>
                <w:bCs/>
                <w:color w:val="2E3DAB"/>
                <w:sz w:val="16"/>
                <w:szCs w:val="16"/>
              </w:rPr>
              <w:t>The Progress tab query sometimes shows an LEA as Not Started for a Collection Request which is not applicable to the LEA</w:t>
            </w:r>
          </w:p>
        </w:tc>
      </w:tr>
      <w:tr w:rsidR="00432123" w:rsidRPr="00432123" w:rsidTr="00432123">
        <w:trPr>
          <w:tblCellSpacing w:w="15" w:type="dxa"/>
        </w:trPr>
        <w:tc>
          <w:tcPr>
            <w:tcW w:w="0" w:type="auto"/>
            <w:vAlign w:val="center"/>
            <w:hideMark/>
          </w:tcPr>
          <w:p w:rsidR="00432123" w:rsidRPr="00432123" w:rsidRDefault="00432123" w:rsidP="00432123">
            <w:pPr>
              <w:spacing w:after="0" w:line="240" w:lineRule="auto"/>
              <w:rPr>
                <w:rFonts w:ascii="Verdana" w:eastAsia="Times New Roman" w:hAnsi="Verdana" w:cs="Times New Roman"/>
                <w:color w:val="696969"/>
                <w:sz w:val="16"/>
                <w:szCs w:val="16"/>
              </w:rPr>
            </w:pPr>
          </w:p>
        </w:tc>
        <w:tc>
          <w:tcPr>
            <w:tcW w:w="0" w:type="auto"/>
            <w:vAlign w:val="center"/>
            <w:hideMark/>
          </w:tcPr>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 xml:space="preserve">Some Collection Requests are visible only to individually specified LEAs. Prior releases disregarded this restriction and an LEA, to which the Collection Request was not applicable, could </w:t>
            </w:r>
            <w:proofErr w:type="gramStart"/>
            <w:r w:rsidRPr="00432123">
              <w:rPr>
                <w:rFonts w:ascii="Verdana" w:eastAsia="Times New Roman" w:hAnsi="Verdana" w:cs="Times New Roman"/>
                <w:color w:val="696969"/>
                <w:sz w:val="16"/>
                <w:szCs w:val="16"/>
              </w:rPr>
              <w:t>get</w:t>
            </w:r>
            <w:proofErr w:type="gramEnd"/>
            <w:r w:rsidRPr="00432123">
              <w:rPr>
                <w:rFonts w:ascii="Verdana" w:eastAsia="Times New Roman" w:hAnsi="Verdana" w:cs="Times New Roman"/>
                <w:color w:val="696969"/>
                <w:sz w:val="16"/>
                <w:szCs w:val="16"/>
              </w:rPr>
              <w:t xml:space="preserve"> listed in the Not Started stage, of query results on the Progress tab. This release corrects this issue.</w:t>
            </w:r>
          </w:p>
          <w:p w:rsidR="00432123" w:rsidRPr="00432123" w:rsidRDefault="00432123" w:rsidP="00432123">
            <w:pPr>
              <w:spacing w:before="100" w:beforeAutospacing="1" w:after="240"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(Ticket #VRF-666. Addressed in 2.1.7)</w:t>
            </w:r>
          </w:p>
        </w:tc>
      </w:tr>
    </w:tbl>
    <w:p w:rsidR="00432123" w:rsidRPr="00432123" w:rsidRDefault="00432123" w:rsidP="00432123">
      <w:pPr>
        <w:spacing w:before="100" w:beforeAutospacing="1" w:after="100" w:afterAutospacing="1" w:line="240" w:lineRule="auto"/>
        <w:rPr>
          <w:rFonts w:ascii="Verdana" w:eastAsia="Times New Roman" w:hAnsi="Verdana" w:cs="Times New Roman"/>
          <w:color w:val="696969"/>
          <w:sz w:val="16"/>
          <w:szCs w:val="16"/>
        </w:rPr>
      </w:pPr>
      <w:r w:rsidRPr="00432123">
        <w:rPr>
          <w:rFonts w:ascii="Verdana" w:eastAsia="Times New Roman" w:hAnsi="Verdana" w:cs="Times New Roman"/>
          <w:color w:val="696969"/>
          <w:sz w:val="16"/>
          <w:szCs w:val="16"/>
        </w:rPr>
        <w:t>May contain other minor bug fixes not listed above.</w:t>
      </w:r>
    </w:p>
    <w:p w:rsidR="00432123" w:rsidRPr="00432123" w:rsidRDefault="00432123" w:rsidP="00432123">
      <w:pPr>
        <w:spacing w:after="0" w:line="240" w:lineRule="auto"/>
        <w:rPr>
          <w:rFonts w:ascii="Times New Roman" w:eastAsia="Times New Roman" w:hAnsi="Times New Roman" w:cs="Times New Roman"/>
          <w:sz w:val="24"/>
          <w:szCs w:val="24"/>
        </w:rPr>
      </w:pPr>
    </w:p>
    <w:p w:rsidR="00432123" w:rsidRPr="00432123" w:rsidRDefault="00432123" w:rsidP="00432123">
      <w:pPr>
        <w:spacing w:after="0" w:line="240" w:lineRule="auto"/>
        <w:rPr>
          <w:rFonts w:ascii="Times New Roman" w:eastAsia="Times New Roman" w:hAnsi="Times New Roman" w:cs="Times New Roman"/>
          <w:sz w:val="24"/>
          <w:szCs w:val="24"/>
        </w:rPr>
      </w:pPr>
      <w:r w:rsidRPr="00432123">
        <w:rPr>
          <w:rFonts w:ascii="Times New Roman" w:eastAsia="Times New Roman" w:hAnsi="Times New Roman" w:cs="Times New Roman"/>
          <w:sz w:val="24"/>
          <w:szCs w:val="24"/>
        </w:rPr>
        <w:pict>
          <v:rect id="_x0000_i1025" style="width:0;height:1.5pt" o:hralign="center" o:hrstd="t" o:hr="t" fillcolor="#a0a0a0" stroked="f"/>
        </w:pict>
      </w:r>
    </w:p>
    <w:p w:rsidR="00432123" w:rsidRPr="00432123" w:rsidRDefault="00432123" w:rsidP="00432123">
      <w:pPr>
        <w:spacing w:after="0" w:line="240" w:lineRule="auto"/>
        <w:rPr>
          <w:rFonts w:ascii="Times New Roman" w:eastAsia="Times New Roman" w:hAnsi="Times New Roman" w:cs="Times New Roman"/>
          <w:sz w:val="24"/>
          <w:szCs w:val="24"/>
        </w:rPr>
      </w:pPr>
      <w:r w:rsidRPr="00432123">
        <w:rPr>
          <w:rFonts w:ascii="Times New Roman" w:eastAsia="Times New Roman" w:hAnsi="Times New Roman" w:cs="Times New Roman"/>
          <w:sz w:val="24"/>
          <w:szCs w:val="24"/>
        </w:rPr>
        <w:br/>
      </w:r>
    </w:p>
    <w:p w:rsidR="00A9462A" w:rsidRDefault="00432123" w:rsidP="00432123">
      <w:pPr>
        <w:spacing w:before="100" w:beforeAutospacing="1" w:after="100" w:afterAutospacing="1" w:line="240" w:lineRule="auto"/>
        <w:jc w:val="center"/>
      </w:pPr>
      <w:r w:rsidRPr="00432123">
        <w:rPr>
          <w:rFonts w:ascii="Verdana" w:eastAsia="Times New Roman" w:hAnsi="Verdana" w:cs="Times New Roman"/>
          <w:color w:val="696969"/>
          <w:sz w:val="16"/>
          <w:szCs w:val="16"/>
        </w:rPr>
        <w:t>Copyright © 2021 Pearson Education, Inc. or its affiliate(s). All rights reserved.</w:t>
      </w:r>
      <w:r w:rsidRPr="00432123">
        <w:rPr>
          <w:rFonts w:ascii="Verdana" w:eastAsia="Times New Roman" w:hAnsi="Verdana" w:cs="Times New Roman"/>
          <w:color w:val="696969"/>
          <w:sz w:val="16"/>
          <w:szCs w:val="16"/>
        </w:rPr>
        <w:br/>
        <w:t>For questions or support email ESP Solutions Group: akatz@espsg.com</w:t>
      </w:r>
      <w:proofErr w:type="gramStart"/>
      <w:r w:rsidRPr="00432123">
        <w:rPr>
          <w:rFonts w:ascii="Verdana" w:eastAsia="Times New Roman" w:hAnsi="Verdana" w:cs="Times New Roman"/>
          <w:color w:val="696969"/>
          <w:sz w:val="16"/>
          <w:szCs w:val="16"/>
        </w:rPr>
        <w:t>  |</w:t>
      </w:r>
      <w:proofErr w:type="gramEnd"/>
      <w:r w:rsidRPr="00432123">
        <w:rPr>
          <w:rFonts w:ascii="Verdana" w:eastAsia="Times New Roman" w:hAnsi="Verdana" w:cs="Times New Roman"/>
          <w:color w:val="696969"/>
          <w:sz w:val="16"/>
          <w:szCs w:val="16"/>
        </w:rPr>
        <w:t> or call 1.802.659.0127</w:t>
      </w:r>
      <w:bookmarkStart w:id="0" w:name="_GoBack"/>
      <w:bookmarkEnd w:id="0"/>
    </w:p>
    <w:sectPr w:rsidR="00A94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23"/>
    <w:rsid w:val="00432123"/>
    <w:rsid w:val="007969ED"/>
    <w:rsid w:val="00C1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9B156-6E1A-4952-B20F-D4A6BA01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21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21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1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21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321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ect-title">
    <w:name w:val="defect-title"/>
    <w:basedOn w:val="DefaultParagraphFont"/>
    <w:rsid w:val="00432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0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1</cp:revision>
  <dcterms:created xsi:type="dcterms:W3CDTF">2022-11-22T20:11:00Z</dcterms:created>
  <dcterms:modified xsi:type="dcterms:W3CDTF">2022-11-22T20:12:00Z</dcterms:modified>
</cp:coreProperties>
</file>