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F191" w14:textId="77777777" w:rsidR="009E6417" w:rsidRDefault="009E6417"/>
    <w:p w14:paraId="7AD572B9" w14:textId="77777777" w:rsidR="005A2B83" w:rsidRDefault="005A2B83" w:rsidP="005A2B83"/>
    <w:p w14:paraId="1F2A950A" w14:textId="1158A5C4" w:rsidR="009E4FDF" w:rsidRPr="00A060D2" w:rsidRDefault="00853301" w:rsidP="005A2B83">
      <w:pPr>
        <w:rPr>
          <w:rFonts w:ascii="Century Gothic" w:hAnsi="Century Gothic"/>
          <w:color w:val="7030A0"/>
        </w:rPr>
      </w:pPr>
      <w:r>
        <w:rPr>
          <w:rFonts w:ascii="Century Gothic" w:hAnsi="Century Gothic"/>
          <w:color w:val="7030A0"/>
        </w:rPr>
        <w:t>District Administrators,</w:t>
      </w:r>
    </w:p>
    <w:p w14:paraId="7A99AD04" w14:textId="77777777" w:rsidR="009C6517" w:rsidRDefault="009C6517" w:rsidP="005A2B83">
      <w:pPr>
        <w:rPr>
          <w:i/>
          <w:iCs/>
          <w:color w:val="0070C0"/>
        </w:rPr>
      </w:pPr>
    </w:p>
    <w:p w14:paraId="0BA13342" w14:textId="7D6F9D7F" w:rsidR="009C6517" w:rsidRPr="005C5E00" w:rsidRDefault="009C6517" w:rsidP="009C6517">
      <w:pPr>
        <w:rPr>
          <w:rFonts w:ascii="Century Gothic" w:hAnsi="Century Gothic"/>
        </w:rPr>
      </w:pPr>
      <w:r w:rsidRPr="005C5E00">
        <w:rPr>
          <w:rFonts w:ascii="Century Gothic" w:hAnsi="Century Gothic"/>
        </w:rPr>
        <w:t xml:space="preserve">The Department of Education and Workforce is leveraging the EMIS Alliance Grant and ITC participation to assist EMIS coordinators and other key district and school personnel to improve the ability of educators to better explore, understand, and communicate with school data in a meaningful way. </w:t>
      </w:r>
      <w:r w:rsidR="00FC2B9A">
        <w:rPr>
          <w:rFonts w:ascii="Century Gothic" w:hAnsi="Century Gothic"/>
        </w:rPr>
        <w:t xml:space="preserve">The </w:t>
      </w:r>
      <w:r w:rsidR="00FC2B9A" w:rsidRPr="005C5E00">
        <w:rPr>
          <w:rFonts w:ascii="Century Gothic" w:hAnsi="Century Gothic"/>
          <w:b/>
          <w:bCs/>
          <w:i/>
          <w:iCs/>
        </w:rPr>
        <w:t>Tools for Troubleshooting Data Associated with Report Card Measures</w:t>
      </w:r>
      <w:r w:rsidR="00FC2B9A" w:rsidRPr="009C6517">
        <w:rPr>
          <w:rFonts w:ascii="Century Gothic" w:hAnsi="Century Gothic"/>
        </w:rPr>
        <w:t xml:space="preserve"> </w:t>
      </w:r>
      <w:r w:rsidR="00FC2B9A">
        <w:rPr>
          <w:rFonts w:ascii="Century Gothic" w:hAnsi="Century Gothic"/>
        </w:rPr>
        <w:t xml:space="preserve">workshop </w:t>
      </w:r>
      <w:r w:rsidRPr="009C6517">
        <w:rPr>
          <w:rFonts w:ascii="Century Gothic" w:hAnsi="Century Gothic"/>
        </w:rPr>
        <w:t xml:space="preserve">is different than other EMIS </w:t>
      </w:r>
      <w:r w:rsidR="00FC2B9A">
        <w:rPr>
          <w:rFonts w:ascii="Century Gothic" w:hAnsi="Century Gothic"/>
        </w:rPr>
        <w:t>offerings</w:t>
      </w:r>
      <w:r w:rsidRPr="009C6517">
        <w:rPr>
          <w:rFonts w:ascii="Century Gothic" w:hAnsi="Century Gothic"/>
        </w:rPr>
        <w:t xml:space="preserve"> because the intended audience is </w:t>
      </w:r>
      <w:r w:rsidR="00FC2B9A">
        <w:rPr>
          <w:rFonts w:ascii="Century Gothic" w:hAnsi="Century Gothic"/>
        </w:rPr>
        <w:t xml:space="preserve">for </w:t>
      </w:r>
      <w:r w:rsidRPr="009C6517">
        <w:rPr>
          <w:rFonts w:ascii="Century Gothic" w:hAnsi="Century Gothic"/>
        </w:rPr>
        <w:t xml:space="preserve">district </w:t>
      </w:r>
      <w:r w:rsidRPr="00FC2B9A">
        <w:rPr>
          <w:rFonts w:ascii="Century Gothic" w:hAnsi="Century Gothic"/>
          <w:i/>
          <w:iCs/>
          <w:u w:val="single"/>
        </w:rPr>
        <w:t>teams</w:t>
      </w:r>
      <w:r w:rsidR="00FC2B9A">
        <w:rPr>
          <w:rFonts w:ascii="Century Gothic" w:hAnsi="Century Gothic"/>
          <w:i/>
          <w:iCs/>
        </w:rPr>
        <w:t>,</w:t>
      </w:r>
      <w:r w:rsidRPr="00FC2B9A">
        <w:rPr>
          <w:rFonts w:ascii="Century Gothic" w:hAnsi="Century Gothic"/>
          <w:i/>
          <w:iCs/>
        </w:rPr>
        <w:t xml:space="preserve"> </w:t>
      </w:r>
      <w:r w:rsidR="00FC2B9A">
        <w:rPr>
          <w:rFonts w:ascii="Century Gothic" w:hAnsi="Century Gothic"/>
        </w:rPr>
        <w:t xml:space="preserve">including </w:t>
      </w:r>
      <w:r w:rsidRPr="009C6517">
        <w:rPr>
          <w:rFonts w:ascii="Century Gothic" w:hAnsi="Century Gothic"/>
        </w:rPr>
        <w:t xml:space="preserve">the EMIS coordinator </w:t>
      </w:r>
      <w:r w:rsidR="00FC2B9A">
        <w:rPr>
          <w:rFonts w:ascii="Century Gothic" w:hAnsi="Century Gothic"/>
          <w:i/>
          <w:iCs/>
          <w:u w:val="single"/>
        </w:rPr>
        <w:t>along with</w:t>
      </w:r>
      <w:r w:rsidRPr="009C6517">
        <w:rPr>
          <w:rFonts w:ascii="Century Gothic" w:hAnsi="Century Gothic"/>
          <w:i/>
          <w:iCs/>
          <w:u w:val="single"/>
        </w:rPr>
        <w:t xml:space="preserve"> </w:t>
      </w:r>
      <w:r w:rsidRPr="009C6517">
        <w:rPr>
          <w:rFonts w:ascii="Century Gothic" w:hAnsi="Century Gothic"/>
        </w:rPr>
        <w:t xml:space="preserve">other district and building level administrators who play a role in assuring accurate report card data. </w:t>
      </w:r>
    </w:p>
    <w:p w14:paraId="42382F03" w14:textId="77777777" w:rsidR="009C6517" w:rsidRPr="005C5E00" w:rsidRDefault="009C6517" w:rsidP="009C6517">
      <w:pPr>
        <w:rPr>
          <w:rFonts w:ascii="Century Gothic" w:hAnsi="Century Gothic"/>
        </w:rPr>
      </w:pPr>
    </w:p>
    <w:p w14:paraId="00705D3C" w14:textId="6623E4FA" w:rsidR="009C6517" w:rsidRPr="005C5E00" w:rsidRDefault="009C6517" w:rsidP="009C6517">
      <w:pPr>
        <w:rPr>
          <w:rFonts w:ascii="Century Gothic" w:hAnsi="Century Gothic"/>
        </w:rPr>
      </w:pPr>
      <w:r w:rsidRPr="005C5E00">
        <w:rPr>
          <w:rFonts w:ascii="Century Gothic" w:hAnsi="Century Gothic"/>
        </w:rPr>
        <w:t xml:space="preserve">This </w:t>
      </w:r>
      <w:r w:rsidRPr="005C5E00">
        <w:rPr>
          <w:rFonts w:ascii="Century Gothic" w:hAnsi="Century Gothic"/>
          <w:i/>
          <w:iCs/>
          <w:u w:val="single"/>
        </w:rPr>
        <w:t>in-person-only</w:t>
      </w:r>
      <w:r w:rsidRPr="005C5E00">
        <w:rPr>
          <w:rFonts w:ascii="Century Gothic" w:hAnsi="Century Gothic"/>
        </w:rPr>
        <w:t xml:space="preserve"> EMIS Alliance workshop will include real data troubleshooting opportunities reflecting some of the reporting issues experienced with the Report Card. It will address the various reports available in the Secure Data Center to assist districts and schools in reviewing their data and decision-making.  It will also address the importance of assigned data owners for the various data sets that impact Report Card measures as well as building strong data teams that actively engage in ensuring accurate data is reported.  </w:t>
      </w:r>
    </w:p>
    <w:p w14:paraId="71B583C9" w14:textId="77777777" w:rsidR="009C6517" w:rsidRPr="005C5E00" w:rsidRDefault="009C6517" w:rsidP="009C6517">
      <w:pPr>
        <w:rPr>
          <w:rFonts w:ascii="Century Gothic" w:hAnsi="Century Gothic"/>
        </w:rPr>
      </w:pPr>
    </w:p>
    <w:p w14:paraId="5B8DB0AD" w14:textId="4C0E8F80" w:rsidR="009C6517" w:rsidRDefault="009C6517" w:rsidP="009C6517">
      <w:pPr>
        <w:rPr>
          <w:rFonts w:ascii="Century Gothic" w:hAnsi="Century Gothic"/>
        </w:rPr>
      </w:pPr>
      <w:r w:rsidRPr="009C6517">
        <w:rPr>
          <w:rFonts w:ascii="Century Gothic" w:hAnsi="Century Gothic"/>
        </w:rPr>
        <w:t xml:space="preserve">We are pleased to offer </w:t>
      </w:r>
      <w:r w:rsidRPr="005C5E00">
        <w:rPr>
          <w:rFonts w:ascii="Century Gothic" w:hAnsi="Century Gothic"/>
          <w:b/>
          <w:bCs/>
          <w:i/>
          <w:iCs/>
        </w:rPr>
        <w:t>Tools for Troubleshooting Data Associated with Report Card Measures</w:t>
      </w:r>
      <w:r w:rsidR="007C548E">
        <w:rPr>
          <w:rFonts w:ascii="Century Gothic" w:hAnsi="Century Gothic"/>
          <w:b/>
          <w:bCs/>
          <w:i/>
          <w:iCs/>
        </w:rPr>
        <w:t xml:space="preserve"> </w:t>
      </w:r>
      <w:r w:rsidR="007C548E">
        <w:rPr>
          <w:rFonts w:ascii="Century Gothic" w:hAnsi="Century Gothic"/>
        </w:rPr>
        <w:t xml:space="preserve">for your district team </w:t>
      </w:r>
      <w:r w:rsidR="007C548E" w:rsidRPr="007C548E">
        <w:rPr>
          <w:rFonts w:ascii="Century Gothic" w:hAnsi="Century Gothic"/>
        </w:rPr>
        <w:t xml:space="preserve">on </w:t>
      </w:r>
      <w:r w:rsidR="007C548E">
        <w:rPr>
          <w:rFonts w:ascii="Century Gothic" w:hAnsi="Century Gothic"/>
        </w:rPr>
        <w:t>the dates and times noted below</w:t>
      </w:r>
      <w:r>
        <w:rPr>
          <w:rFonts w:ascii="Century Gothic" w:hAnsi="Century Gothic"/>
        </w:rPr>
        <w:t xml:space="preserve">. </w:t>
      </w:r>
      <w:r w:rsidRPr="005C5E00">
        <w:rPr>
          <w:rFonts w:ascii="Century Gothic" w:hAnsi="Century Gothic"/>
        </w:rPr>
        <w:t xml:space="preserve">It is intended for </w:t>
      </w:r>
      <w:r w:rsidRPr="009C6517">
        <w:rPr>
          <w:rFonts w:ascii="Century Gothic" w:hAnsi="Century Gothic"/>
          <w:i/>
          <w:iCs/>
          <w:u w:val="single"/>
        </w:rPr>
        <w:t xml:space="preserve">at least </w:t>
      </w:r>
      <w:r w:rsidRPr="009C6517">
        <w:rPr>
          <w:rFonts w:ascii="Century Gothic" w:hAnsi="Century Gothic"/>
        </w:rPr>
        <w:t>two</w:t>
      </w:r>
      <w:r>
        <w:rPr>
          <w:rFonts w:ascii="Century Gothic" w:hAnsi="Century Gothic"/>
        </w:rPr>
        <w:t xml:space="preserve"> </w:t>
      </w:r>
      <w:r w:rsidRPr="009C6517">
        <w:rPr>
          <w:rFonts w:ascii="Century Gothic" w:hAnsi="Century Gothic"/>
        </w:rPr>
        <w:t>district</w:t>
      </w:r>
      <w:r w:rsidRPr="005C5E00">
        <w:rPr>
          <w:rFonts w:ascii="Century Gothic" w:hAnsi="Century Gothic"/>
        </w:rPr>
        <w:t xml:space="preserve">/school administrative staff </w:t>
      </w:r>
      <w:r w:rsidRPr="009C6517">
        <w:rPr>
          <w:rFonts w:ascii="Century Gothic" w:hAnsi="Century Gothic"/>
          <w:i/>
          <w:iCs/>
          <w:u w:val="single"/>
        </w:rPr>
        <w:t xml:space="preserve">and </w:t>
      </w:r>
      <w:r w:rsidRPr="005C5E00">
        <w:rPr>
          <w:rFonts w:ascii="Century Gothic" w:hAnsi="Century Gothic"/>
        </w:rPr>
        <w:t xml:space="preserve">the EMIS coordinator to work together with the goal of understanding how the reported data impacts the Report Card. </w:t>
      </w:r>
      <w:r w:rsidR="00E77248">
        <w:rPr>
          <w:rFonts w:ascii="Century Gothic" w:hAnsi="Century Gothic"/>
        </w:rPr>
        <w:t>Concepts covered in this course will include:</w:t>
      </w:r>
    </w:p>
    <w:p w14:paraId="612A108A" w14:textId="77777777" w:rsidR="00E77248" w:rsidRDefault="00E77248" w:rsidP="009C6517">
      <w:pPr>
        <w:rPr>
          <w:rFonts w:ascii="Century Gothic" w:hAnsi="Century Gothic"/>
        </w:rPr>
      </w:pPr>
    </w:p>
    <w:p w14:paraId="759B0EA0" w14:textId="7AD109F4" w:rsidR="00E77248" w:rsidRPr="00E77248" w:rsidRDefault="00E77248" w:rsidP="00E77248">
      <w:pPr>
        <w:pStyle w:val="ListParagraph"/>
        <w:numPr>
          <w:ilvl w:val="0"/>
          <w:numId w:val="5"/>
        </w:numPr>
        <w:rPr>
          <w:rFonts w:ascii="Century Gothic" w:hAnsi="Century Gothic"/>
          <w:i/>
          <w:iCs/>
        </w:rPr>
      </w:pPr>
      <w:r w:rsidRPr="00E77248">
        <w:rPr>
          <w:rFonts w:ascii="Century Gothic" w:hAnsi="Century Gothic"/>
          <w:b/>
          <w:bCs/>
        </w:rPr>
        <w:t>Assessments:</w:t>
      </w:r>
      <w:r w:rsidRPr="00E77248">
        <w:rPr>
          <w:rFonts w:ascii="Century Gothic" w:hAnsi="Century Gothic"/>
        </w:rPr>
        <w:t xml:space="preserve"> </w:t>
      </w:r>
      <w:r w:rsidRPr="00E77248">
        <w:rPr>
          <w:rFonts w:ascii="Century Gothic" w:hAnsi="Century Gothic"/>
          <w:i/>
          <w:iCs/>
        </w:rPr>
        <w:t>Acceleration Bump, OELPA and ALT OELPA – calculating improvement, and Third Grade ELA</w:t>
      </w:r>
    </w:p>
    <w:p w14:paraId="3C87A914" w14:textId="2BA8E831" w:rsidR="00E77248" w:rsidRPr="00E77248" w:rsidRDefault="00E77248" w:rsidP="00E77248">
      <w:pPr>
        <w:pStyle w:val="ListParagraph"/>
        <w:numPr>
          <w:ilvl w:val="0"/>
          <w:numId w:val="5"/>
        </w:numPr>
        <w:rPr>
          <w:rFonts w:ascii="Century Gothic" w:hAnsi="Century Gothic"/>
        </w:rPr>
      </w:pPr>
      <w:r w:rsidRPr="00E77248">
        <w:rPr>
          <w:rFonts w:ascii="Century Gothic" w:hAnsi="Century Gothic"/>
          <w:b/>
          <w:bCs/>
        </w:rPr>
        <w:t>Early Literacy:</w:t>
      </w:r>
      <w:r w:rsidRPr="00E77248">
        <w:rPr>
          <w:rFonts w:ascii="Century Gothic" w:hAnsi="Century Gothic"/>
        </w:rPr>
        <w:t xml:space="preserve"> </w:t>
      </w:r>
      <w:r w:rsidRPr="00E77248">
        <w:rPr>
          <w:rFonts w:ascii="Century Gothic" w:hAnsi="Century Gothic"/>
          <w:i/>
          <w:iCs/>
        </w:rPr>
        <w:t>Reading Diagnostics and Improving at Risk K-3 Readers, and Promotion to 4th Grade</w:t>
      </w:r>
    </w:p>
    <w:p w14:paraId="0C26C7F4" w14:textId="108B48BF" w:rsidR="00E77248" w:rsidRPr="00E77248" w:rsidRDefault="00E77248" w:rsidP="00E77248">
      <w:pPr>
        <w:pStyle w:val="ListParagraph"/>
        <w:numPr>
          <w:ilvl w:val="0"/>
          <w:numId w:val="5"/>
        </w:numPr>
        <w:rPr>
          <w:rFonts w:ascii="Century Gothic" w:hAnsi="Century Gothic"/>
        </w:rPr>
      </w:pPr>
      <w:r w:rsidRPr="00E77248">
        <w:rPr>
          <w:rFonts w:ascii="Century Gothic" w:hAnsi="Century Gothic"/>
          <w:b/>
          <w:bCs/>
        </w:rPr>
        <w:t>CCWMR:</w:t>
      </w:r>
      <w:r w:rsidRPr="00E77248">
        <w:rPr>
          <w:rFonts w:ascii="Century Gothic" w:hAnsi="Century Gothic"/>
        </w:rPr>
        <w:t xml:space="preserve"> </w:t>
      </w:r>
      <w:r w:rsidRPr="00E77248">
        <w:rPr>
          <w:rFonts w:ascii="Century Gothic" w:hAnsi="Century Gothic"/>
          <w:i/>
          <w:iCs/>
        </w:rPr>
        <w:t>Adding Traditional District Work Based Learning</w:t>
      </w:r>
    </w:p>
    <w:p w14:paraId="3BC474A7" w14:textId="77777777" w:rsidR="00E77248" w:rsidRDefault="00E77248" w:rsidP="009C6517">
      <w:pPr>
        <w:rPr>
          <w:rFonts w:ascii="Century Gothic" w:hAnsi="Century Gothic"/>
        </w:rPr>
      </w:pPr>
    </w:p>
    <w:p w14:paraId="086E6BE8" w14:textId="77777777" w:rsidR="009C6517" w:rsidRDefault="009C6517" w:rsidP="009C6517">
      <w:pPr>
        <w:rPr>
          <w:rFonts w:ascii="Century Gothic" w:hAnsi="Century Gothic"/>
          <w:b/>
          <w:bCs/>
          <w:color w:val="0F4761" w:themeColor="accent1" w:themeShade="BF"/>
        </w:rPr>
      </w:pPr>
    </w:p>
    <w:p w14:paraId="62C96F29" w14:textId="4BE67C3D" w:rsidR="00833AB0" w:rsidRDefault="00833AB0" w:rsidP="009C6517">
      <w:pPr>
        <w:rPr>
          <w:rFonts w:ascii="Century Gothic" w:hAnsi="Century Gothic"/>
          <w:color w:val="7030A0"/>
        </w:rPr>
      </w:pPr>
      <w:r>
        <w:rPr>
          <w:rFonts w:ascii="Century Gothic" w:hAnsi="Century Gothic"/>
          <w:color w:val="7030A0"/>
        </w:rPr>
        <w:t>Tuesday, April 28</w:t>
      </w:r>
      <w:r w:rsidRPr="00833AB0">
        <w:rPr>
          <w:rFonts w:ascii="Century Gothic" w:hAnsi="Century Gothic"/>
          <w:color w:val="7030A0"/>
          <w:vertAlign w:val="superscript"/>
        </w:rPr>
        <w:t>th</w:t>
      </w:r>
      <w:r>
        <w:rPr>
          <w:rFonts w:ascii="Century Gothic" w:hAnsi="Century Gothic"/>
          <w:color w:val="7030A0"/>
        </w:rPr>
        <w:t xml:space="preserve"> 9:00 AM – 12:30 PM</w:t>
      </w:r>
    </w:p>
    <w:p w14:paraId="64391982" w14:textId="410991F2" w:rsidR="00833AB0" w:rsidRDefault="00833AB0" w:rsidP="009C6517">
      <w:pPr>
        <w:rPr>
          <w:rFonts w:ascii="Century Gothic" w:hAnsi="Century Gothic"/>
          <w:color w:val="7030A0"/>
        </w:rPr>
      </w:pPr>
      <w:hyperlink r:id="rId5" w:history="1">
        <w:r w:rsidRPr="0034687B">
          <w:rPr>
            <w:rStyle w:val="Hyperlink"/>
            <w:rFonts w:ascii="Century Gothic" w:hAnsi="Century Gothic"/>
          </w:rPr>
          <w:t>https://www.mveca.org/protected/EventView.aspx?id=800UBAG2Y</w:t>
        </w:r>
      </w:hyperlink>
    </w:p>
    <w:p w14:paraId="60592BDB" w14:textId="77777777" w:rsidR="00833AB0" w:rsidRDefault="00833AB0" w:rsidP="009C6517">
      <w:pPr>
        <w:rPr>
          <w:rFonts w:ascii="Century Gothic" w:hAnsi="Century Gothic"/>
          <w:color w:val="7030A0"/>
        </w:rPr>
      </w:pPr>
    </w:p>
    <w:p w14:paraId="59BC3634" w14:textId="136F5BDA" w:rsidR="009C6517" w:rsidRDefault="004A7E76" w:rsidP="009C6517">
      <w:pPr>
        <w:rPr>
          <w:rFonts w:ascii="Century Gothic" w:hAnsi="Century Gothic"/>
          <w:color w:val="7030A0"/>
        </w:rPr>
      </w:pPr>
      <w:r>
        <w:rPr>
          <w:rFonts w:ascii="Century Gothic" w:hAnsi="Century Gothic"/>
          <w:color w:val="7030A0"/>
        </w:rPr>
        <w:t>Thursday, May 28</w:t>
      </w:r>
      <w:r w:rsidRPr="004A7E76">
        <w:rPr>
          <w:rFonts w:ascii="Century Gothic" w:hAnsi="Century Gothic"/>
          <w:color w:val="7030A0"/>
          <w:vertAlign w:val="superscript"/>
        </w:rPr>
        <w:t>th</w:t>
      </w:r>
      <w:r>
        <w:rPr>
          <w:rFonts w:ascii="Century Gothic" w:hAnsi="Century Gothic"/>
          <w:color w:val="7030A0"/>
        </w:rPr>
        <w:t xml:space="preserve"> 9:00 AM – 12:30 PM</w:t>
      </w:r>
      <w:r w:rsidRPr="004A7E76">
        <w:t xml:space="preserve"> </w:t>
      </w:r>
      <w:hyperlink r:id="rId6" w:history="1">
        <w:r w:rsidRPr="0034687B">
          <w:rPr>
            <w:rStyle w:val="Hyperlink"/>
            <w:rFonts w:ascii="Century Gothic" w:hAnsi="Century Gothic"/>
          </w:rPr>
          <w:t>https://www.mveca.org/protected/EventView.aspx?id=800UBAGP0</w:t>
        </w:r>
      </w:hyperlink>
    </w:p>
    <w:p w14:paraId="5AB7F886" w14:textId="5EC614AE" w:rsidR="004A7E76" w:rsidRDefault="004A7E76" w:rsidP="009C6517">
      <w:pPr>
        <w:rPr>
          <w:rFonts w:ascii="Century Gothic" w:hAnsi="Century Gothic"/>
          <w:color w:val="7030A0"/>
        </w:rPr>
      </w:pPr>
    </w:p>
    <w:p w14:paraId="7014358B" w14:textId="6A93D3C9" w:rsidR="004A7E76" w:rsidRDefault="004A7E76" w:rsidP="009C6517">
      <w:pPr>
        <w:rPr>
          <w:rFonts w:ascii="Century Gothic" w:hAnsi="Century Gothic"/>
          <w:color w:val="7030A0"/>
        </w:rPr>
      </w:pPr>
      <w:r>
        <w:rPr>
          <w:rFonts w:ascii="Century Gothic" w:hAnsi="Century Gothic"/>
          <w:color w:val="7030A0"/>
        </w:rPr>
        <w:t>Thursday, June 4</w:t>
      </w:r>
      <w:r w:rsidRPr="004A7E76">
        <w:rPr>
          <w:rFonts w:ascii="Century Gothic" w:hAnsi="Century Gothic"/>
          <w:color w:val="7030A0"/>
          <w:vertAlign w:val="superscript"/>
        </w:rPr>
        <w:t>th</w:t>
      </w:r>
      <w:r>
        <w:rPr>
          <w:rFonts w:ascii="Century Gothic" w:hAnsi="Century Gothic"/>
          <w:color w:val="7030A0"/>
        </w:rPr>
        <w:t xml:space="preserve"> 9:00 AM – 12:30 PM</w:t>
      </w:r>
    </w:p>
    <w:p w14:paraId="4430BE6E" w14:textId="03FC38EE" w:rsidR="004A7E76" w:rsidRDefault="004A7E76" w:rsidP="009C6517">
      <w:pPr>
        <w:rPr>
          <w:rFonts w:ascii="Century Gothic" w:hAnsi="Century Gothic"/>
          <w:color w:val="7030A0"/>
        </w:rPr>
      </w:pPr>
      <w:hyperlink r:id="rId7" w:history="1">
        <w:r w:rsidRPr="0034687B">
          <w:rPr>
            <w:rStyle w:val="Hyperlink"/>
            <w:rFonts w:ascii="Century Gothic" w:hAnsi="Century Gothic"/>
          </w:rPr>
          <w:t>https://www.mveca.org/protected/EventView.aspx?id=800UBAG2B</w:t>
        </w:r>
      </w:hyperlink>
    </w:p>
    <w:p w14:paraId="73CFA4D9" w14:textId="3BC9123A" w:rsidR="004A7E76" w:rsidRDefault="004A7E76" w:rsidP="009C6517">
      <w:pPr>
        <w:rPr>
          <w:rFonts w:ascii="Century Gothic" w:hAnsi="Century Gothic"/>
          <w:color w:val="7030A0"/>
        </w:rPr>
      </w:pPr>
    </w:p>
    <w:p w14:paraId="175609DE" w14:textId="5D2AE87D" w:rsidR="004A7E76" w:rsidRDefault="004A7E76" w:rsidP="005A2B83">
      <w:pPr>
        <w:rPr>
          <w:rFonts w:ascii="Century Gothic" w:hAnsi="Century Gothic"/>
        </w:rPr>
      </w:pPr>
      <w:r>
        <w:rPr>
          <w:rFonts w:ascii="Century Gothic" w:hAnsi="Century Gothic"/>
        </w:rPr>
        <w:t>This session is not recommended for the JVS and ESC districts.  For each session listed above we will be able to accommodate 24 people.  We ask that you speak to your team and register at all the same time.</w:t>
      </w:r>
    </w:p>
    <w:p w14:paraId="5EAC64EE" w14:textId="77777777" w:rsidR="004A7E76" w:rsidRDefault="004A7E76" w:rsidP="005A2B83">
      <w:pPr>
        <w:rPr>
          <w:rFonts w:ascii="Century Gothic" w:hAnsi="Century Gothic"/>
        </w:rPr>
      </w:pPr>
    </w:p>
    <w:p w14:paraId="32ED3233" w14:textId="667A26EC" w:rsidR="009C6517" w:rsidRDefault="009C6517" w:rsidP="005A2B83">
      <w:pPr>
        <w:rPr>
          <w:rFonts w:ascii="Century Gothic" w:hAnsi="Century Gothic"/>
        </w:rPr>
      </w:pPr>
      <w:r w:rsidRPr="009C6517">
        <w:rPr>
          <w:rFonts w:ascii="Century Gothic" w:hAnsi="Century Gothic"/>
        </w:rPr>
        <w:t xml:space="preserve">If you have questions about this course, please reach out to </w:t>
      </w:r>
      <w:r w:rsidR="004A7E76">
        <w:rPr>
          <w:rFonts w:ascii="Century Gothic" w:hAnsi="Century Gothic"/>
        </w:rPr>
        <w:t xml:space="preserve">Angie Luttrell at </w:t>
      </w:r>
      <w:hyperlink r:id="rId8" w:history="1">
        <w:r w:rsidR="004A7E76" w:rsidRPr="0034687B">
          <w:rPr>
            <w:rStyle w:val="Hyperlink"/>
            <w:rFonts w:ascii="Century Gothic" w:hAnsi="Century Gothic"/>
          </w:rPr>
          <w:t>luttrell@mveca.org</w:t>
        </w:r>
      </w:hyperlink>
      <w:r w:rsidR="004A7E76">
        <w:rPr>
          <w:rFonts w:ascii="Century Gothic" w:hAnsi="Century Gothic"/>
        </w:rPr>
        <w:t>.</w:t>
      </w:r>
    </w:p>
    <w:p w14:paraId="52EF5A88" w14:textId="77777777" w:rsidR="004A7E76" w:rsidRPr="009C6517" w:rsidRDefault="004A7E76" w:rsidP="005A2B83">
      <w:pPr>
        <w:rPr>
          <w:rFonts w:ascii="Century Gothic" w:hAnsi="Century Gothic"/>
          <w:color w:val="7030A0"/>
        </w:rPr>
      </w:pPr>
    </w:p>
    <w:sectPr w:rsidR="004A7E76" w:rsidRPr="009C6517" w:rsidSect="008533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2D5"/>
    <w:multiLevelType w:val="multilevel"/>
    <w:tmpl w:val="4BF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B0146"/>
    <w:multiLevelType w:val="multilevel"/>
    <w:tmpl w:val="F5F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6B1BF0"/>
    <w:multiLevelType w:val="hybridMultilevel"/>
    <w:tmpl w:val="175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256D5"/>
    <w:multiLevelType w:val="hybridMultilevel"/>
    <w:tmpl w:val="C3FA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C3E8A"/>
    <w:multiLevelType w:val="multilevel"/>
    <w:tmpl w:val="CB98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70"/>
    <w:rsid w:val="00067BBD"/>
    <w:rsid w:val="000B2CFA"/>
    <w:rsid w:val="00201DE1"/>
    <w:rsid w:val="00205570"/>
    <w:rsid w:val="002936CE"/>
    <w:rsid w:val="004448F6"/>
    <w:rsid w:val="004A7E76"/>
    <w:rsid w:val="004C3561"/>
    <w:rsid w:val="005A2B83"/>
    <w:rsid w:val="00603A5B"/>
    <w:rsid w:val="0061380E"/>
    <w:rsid w:val="006D5247"/>
    <w:rsid w:val="007C548E"/>
    <w:rsid w:val="00820AE2"/>
    <w:rsid w:val="00826F51"/>
    <w:rsid w:val="00833AB0"/>
    <w:rsid w:val="00853301"/>
    <w:rsid w:val="008B77F4"/>
    <w:rsid w:val="00915857"/>
    <w:rsid w:val="00931F0B"/>
    <w:rsid w:val="009C6517"/>
    <w:rsid w:val="009E1C87"/>
    <w:rsid w:val="009E4FDF"/>
    <w:rsid w:val="009E6417"/>
    <w:rsid w:val="00A060D2"/>
    <w:rsid w:val="00AF52FC"/>
    <w:rsid w:val="00B874DE"/>
    <w:rsid w:val="00C0421E"/>
    <w:rsid w:val="00CD5936"/>
    <w:rsid w:val="00CF0264"/>
    <w:rsid w:val="00DD47AF"/>
    <w:rsid w:val="00E2066D"/>
    <w:rsid w:val="00E26815"/>
    <w:rsid w:val="00E77248"/>
    <w:rsid w:val="00EA1F4B"/>
    <w:rsid w:val="00F17FF6"/>
    <w:rsid w:val="00F43C1A"/>
    <w:rsid w:val="00FC2B9A"/>
    <w:rsid w:val="00FE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45F7"/>
  <w15:chartTrackingRefBased/>
  <w15:docId w15:val="{A80217F9-B852-9246-AAE3-46DCC226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70"/>
    <w:rPr>
      <w:rFonts w:eastAsiaTheme="majorEastAsia" w:cstheme="majorBidi"/>
      <w:color w:val="272727" w:themeColor="text1" w:themeTint="D8"/>
    </w:rPr>
  </w:style>
  <w:style w:type="paragraph" w:styleId="Title">
    <w:name w:val="Title"/>
    <w:basedOn w:val="Normal"/>
    <w:next w:val="Normal"/>
    <w:link w:val="TitleChar"/>
    <w:uiPriority w:val="10"/>
    <w:qFormat/>
    <w:rsid w:val="00205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570"/>
    <w:rPr>
      <w:i/>
      <w:iCs/>
      <w:color w:val="404040" w:themeColor="text1" w:themeTint="BF"/>
    </w:rPr>
  </w:style>
  <w:style w:type="paragraph" w:styleId="ListParagraph">
    <w:name w:val="List Paragraph"/>
    <w:basedOn w:val="Normal"/>
    <w:uiPriority w:val="34"/>
    <w:qFormat/>
    <w:rsid w:val="00205570"/>
    <w:pPr>
      <w:ind w:left="720"/>
      <w:contextualSpacing/>
    </w:pPr>
  </w:style>
  <w:style w:type="character" w:styleId="IntenseEmphasis">
    <w:name w:val="Intense Emphasis"/>
    <w:basedOn w:val="DefaultParagraphFont"/>
    <w:uiPriority w:val="21"/>
    <w:qFormat/>
    <w:rsid w:val="00205570"/>
    <w:rPr>
      <w:i/>
      <w:iCs/>
      <w:color w:val="0F4761" w:themeColor="accent1" w:themeShade="BF"/>
    </w:rPr>
  </w:style>
  <w:style w:type="paragraph" w:styleId="IntenseQuote">
    <w:name w:val="Intense Quote"/>
    <w:basedOn w:val="Normal"/>
    <w:next w:val="Normal"/>
    <w:link w:val="IntenseQuoteChar"/>
    <w:uiPriority w:val="30"/>
    <w:qFormat/>
    <w:rsid w:val="00205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570"/>
    <w:rPr>
      <w:i/>
      <w:iCs/>
      <w:color w:val="0F4761" w:themeColor="accent1" w:themeShade="BF"/>
    </w:rPr>
  </w:style>
  <w:style w:type="character" w:styleId="IntenseReference">
    <w:name w:val="Intense Reference"/>
    <w:basedOn w:val="DefaultParagraphFont"/>
    <w:uiPriority w:val="32"/>
    <w:qFormat/>
    <w:rsid w:val="00205570"/>
    <w:rPr>
      <w:b/>
      <w:bCs/>
      <w:smallCaps/>
      <w:color w:val="0F4761" w:themeColor="accent1" w:themeShade="BF"/>
      <w:spacing w:val="5"/>
    </w:rPr>
  </w:style>
  <w:style w:type="character" w:customStyle="1" w:styleId="apple-converted-space">
    <w:name w:val="apple-converted-space"/>
    <w:basedOn w:val="DefaultParagraphFont"/>
    <w:rsid w:val="00E77248"/>
  </w:style>
  <w:style w:type="character" w:styleId="Hyperlink">
    <w:name w:val="Hyperlink"/>
    <w:basedOn w:val="DefaultParagraphFont"/>
    <w:uiPriority w:val="99"/>
    <w:unhideWhenUsed/>
    <w:rsid w:val="004A7E76"/>
    <w:rPr>
      <w:color w:val="467886" w:themeColor="hyperlink"/>
      <w:u w:val="single"/>
    </w:rPr>
  </w:style>
  <w:style w:type="character" w:styleId="UnresolvedMention">
    <w:name w:val="Unresolved Mention"/>
    <w:basedOn w:val="DefaultParagraphFont"/>
    <w:uiPriority w:val="99"/>
    <w:semiHidden/>
    <w:unhideWhenUsed/>
    <w:rsid w:val="004A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trell@mveca.org" TargetMode="External"/><Relationship Id="rId3" Type="http://schemas.openxmlformats.org/officeDocument/2006/relationships/settings" Target="settings.xml"/><Relationship Id="rId7" Type="http://schemas.openxmlformats.org/officeDocument/2006/relationships/hyperlink" Target="https://www.mveca.org/protected/EventView.aspx?id=800UBAG2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eca.org/protected/EventView.aspx?id=800UBAGP0" TargetMode="External"/><Relationship Id="rId5" Type="http://schemas.openxmlformats.org/officeDocument/2006/relationships/hyperlink" Target="https://www.mveca.org/protected/EventView.aspx?id=800UBAG2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Tompkins</dc:creator>
  <cp:keywords/>
  <dc:description/>
  <cp:lastModifiedBy>Angela Luttrell</cp:lastModifiedBy>
  <cp:revision>2</cp:revision>
  <dcterms:created xsi:type="dcterms:W3CDTF">2026-04-10T16:06:00Z</dcterms:created>
  <dcterms:modified xsi:type="dcterms:W3CDTF">2026-04-10T16:06:00Z</dcterms:modified>
</cp:coreProperties>
</file>