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FD28" w14:textId="0F5476E0" w:rsidR="00196EA9" w:rsidRDefault="00196EA9" w:rsidP="00F762BB">
      <w:pPr>
        <w:pStyle w:val="Heading1"/>
        <w:jc w:val="center"/>
        <w:rPr>
          <w:color w:val="auto"/>
        </w:rPr>
      </w:pPr>
      <w:r w:rsidRPr="00196EA9">
        <w:rPr>
          <w:noProof/>
          <w:color w:val="auto"/>
        </w:rPr>
        <w:drawing>
          <wp:inline distT="0" distB="0" distL="0" distR="0" wp14:anchorId="734FB9BE" wp14:editId="2C1273DE">
            <wp:extent cx="4116029" cy="129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111" cy="129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6E356" w14:textId="77777777" w:rsidR="00196EA9" w:rsidRPr="00196EA9" w:rsidRDefault="00196EA9" w:rsidP="00196EA9">
      <w:pPr>
        <w:pStyle w:val="Default"/>
        <w:rPr>
          <w:rFonts w:asciiTheme="majorHAnsi" w:hAnsiTheme="majorHAnsi" w:cstheme="majorHAnsi"/>
        </w:rPr>
      </w:pPr>
    </w:p>
    <w:p w14:paraId="262F84F6" w14:textId="2D3C9817" w:rsidR="00196EA9" w:rsidRPr="00196EA9" w:rsidRDefault="001F391A" w:rsidP="00196EA9">
      <w:pPr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r>
        <w:rPr>
          <w:rFonts w:asciiTheme="majorHAnsi" w:hAnsiTheme="majorHAnsi" w:cstheme="majorHAnsi"/>
          <w:color w:val="1F497D" w:themeColor="text2"/>
          <w:sz w:val="28"/>
          <w:szCs w:val="28"/>
        </w:rPr>
        <w:t>888 Dayton St., Suite 102</w:t>
      </w:r>
      <w:r w:rsidR="00196EA9" w:rsidRPr="00196EA9">
        <w:rPr>
          <w:rFonts w:asciiTheme="majorHAnsi" w:hAnsiTheme="majorHAnsi" w:cstheme="majorHAnsi"/>
          <w:color w:val="1F497D" w:themeColor="text2"/>
          <w:sz w:val="28"/>
          <w:szCs w:val="28"/>
        </w:rPr>
        <w:t>, Yellow Springs, Ohio 45387</w:t>
      </w:r>
    </w:p>
    <w:p w14:paraId="0364451C" w14:textId="742E102D" w:rsidR="00196EA9" w:rsidRPr="00196EA9" w:rsidRDefault="00196EA9" w:rsidP="00196EA9">
      <w:pPr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196EA9">
        <w:rPr>
          <w:rFonts w:asciiTheme="majorHAnsi" w:hAnsiTheme="majorHAnsi" w:cstheme="majorHAnsi"/>
          <w:color w:val="1F497D" w:themeColor="text2"/>
          <w:sz w:val="28"/>
          <w:szCs w:val="28"/>
        </w:rPr>
        <w:t>937-767-1468 www.mveca.org</w:t>
      </w:r>
    </w:p>
    <w:p w14:paraId="5023959C" w14:textId="1EBDFE81" w:rsidR="00482B1D" w:rsidRDefault="00F72E86" w:rsidP="00F762BB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Legacy Data Preservation Recommendations </w:t>
      </w:r>
    </w:p>
    <w:p w14:paraId="3558E2EC" w14:textId="2917D5DB" w:rsidR="00DD750B" w:rsidRPr="002A763F" w:rsidRDefault="0028516A" w:rsidP="00196EA9">
      <w:pP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</w:rPr>
        <w:t>TEMPLATE</w:t>
      </w:r>
      <w:bookmarkStart w:id="0" w:name="_GoBack"/>
      <w:bookmarkEnd w:id="0"/>
      <w:r w:rsidR="00346626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CITY</w:t>
      </w:r>
      <w:r w:rsidR="00F72E86" w:rsidRPr="002A763F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SCHOOL</w:t>
      </w:r>
      <w:r w:rsidR="00346626">
        <w:rPr>
          <w:rFonts w:asciiTheme="majorHAnsi" w:eastAsiaTheme="majorEastAsia" w:hAnsiTheme="majorHAnsi" w:cstheme="majorBidi"/>
          <w:b/>
          <w:bCs/>
          <w:sz w:val="26"/>
          <w:szCs w:val="26"/>
        </w:rPr>
        <w:t>S</w:t>
      </w:r>
    </w:p>
    <w:p w14:paraId="23F0BAE8" w14:textId="2444EF47" w:rsidR="00EB1940" w:rsidRPr="00032938" w:rsidRDefault="002B2F06" w:rsidP="00EB1940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/>
      </w:r>
      <w:r>
        <w:rPr>
          <w:rFonts w:asciiTheme="majorHAnsi" w:hAnsiTheme="majorHAnsi" w:cstheme="majorHAnsi"/>
          <w:sz w:val="22"/>
          <w:szCs w:val="22"/>
        </w:rPr>
        <w:instrText xml:space="preserve"> DATE \@ "MMMM d, yyyy" </w:instrText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 w:rsidR="0028516A">
        <w:rPr>
          <w:rFonts w:asciiTheme="majorHAnsi" w:hAnsiTheme="majorHAnsi" w:cstheme="majorHAnsi"/>
          <w:noProof/>
          <w:sz w:val="22"/>
          <w:szCs w:val="22"/>
        </w:rPr>
        <w:t>February 3, 2023</w:t>
      </w:r>
      <w:r>
        <w:rPr>
          <w:rFonts w:asciiTheme="majorHAnsi" w:hAnsiTheme="majorHAnsi" w:cstheme="majorHAnsi"/>
          <w:sz w:val="22"/>
          <w:szCs w:val="22"/>
        </w:rPr>
        <w:fldChar w:fldCharType="end"/>
      </w:r>
    </w:p>
    <w:p w14:paraId="2763F1E3" w14:textId="77777777" w:rsidR="00F762BB" w:rsidRPr="00F762BB" w:rsidRDefault="00F762BB" w:rsidP="00F762BB">
      <w:pPr>
        <w:rPr>
          <w:rFonts w:asciiTheme="majorHAnsi" w:hAnsiTheme="majorHAnsi" w:cstheme="majorHAnsi"/>
          <w:sz w:val="22"/>
          <w:szCs w:val="22"/>
        </w:rPr>
      </w:pPr>
    </w:p>
    <w:p w14:paraId="0EA4FACE" w14:textId="376AED02" w:rsidR="00EE7661" w:rsidRDefault="00F72E86" w:rsidP="00482B1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 following the recommendations presented by State Software Development Team (SSDT), we acknowledge and accept the recommendations below and are confident we have sufficient records preserved.</w:t>
      </w:r>
      <w:r w:rsidR="000E7303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2934177C" w14:textId="77777777" w:rsidR="00F72E86" w:rsidRDefault="00F72E86" w:rsidP="00482B1D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473"/>
        <w:gridCol w:w="1772"/>
        <w:gridCol w:w="3703"/>
        <w:gridCol w:w="2409"/>
      </w:tblGrid>
      <w:tr w:rsidR="002A763F" w:rsidRPr="00F72E86" w14:paraId="79F4B4CF" w14:textId="1C4AE02A" w:rsidTr="002A763F">
        <w:trPr>
          <w:tblHeader/>
        </w:trPr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EB8CEC5" w14:textId="77777777" w:rsidR="002A763F" w:rsidRPr="00F72E86" w:rsidRDefault="002A763F" w:rsidP="00F72E86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Reports 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E1516F" w14:textId="77777777" w:rsidR="002A763F" w:rsidRPr="00F72E86" w:rsidRDefault="002A763F" w:rsidP="00F72E86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Resource 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88ED682" w14:textId="77777777" w:rsidR="002A763F" w:rsidRPr="00F72E86" w:rsidRDefault="002A763F" w:rsidP="00F72E86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Functions/ Use Cases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AC81C5B" w14:textId="77777777" w:rsidR="002A763F" w:rsidRPr="00F72E86" w:rsidRDefault="002A763F" w:rsidP="00F72E86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Additional Recommendations/Caveats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7F866C38" w14:textId="72A86F83" w:rsidR="002A763F" w:rsidRPr="00F72E86" w:rsidRDefault="002A763F" w:rsidP="00F72E86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Recommended Archive Location</w:t>
            </w:r>
          </w:p>
        </w:tc>
      </w:tr>
      <w:tr w:rsidR="00A455A5" w:rsidRPr="00F72E86" w14:paraId="5DF496A2" w14:textId="62F28CB0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C95CAA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Payroll 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F4BC27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PAYROLL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CF2EA08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Payroll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091843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Review for any gaps and regenerate if necessary.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0E0C2EF5" w14:textId="7D5A3EFE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Stored in USPS File Archive </w:t>
            </w:r>
          </w:p>
        </w:tc>
      </w:tr>
      <w:tr w:rsidR="00A455A5" w:rsidRPr="00F72E86" w14:paraId="4F821D4F" w14:textId="04721984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43ABF5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E288715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MONTHLY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2010F2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Accounting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36FC83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Review for any gaps and regenerate if necessary.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28498C62" w14:textId="52500D32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in USAS File Archive</w:t>
            </w:r>
          </w:p>
        </w:tc>
      </w:tr>
      <w:tr w:rsidR="00A455A5" w:rsidRPr="00F72E86" w14:paraId="7D604F16" w14:textId="289B649E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DAB32DE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BCB6051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FISCAL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AF493F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99EE86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Review for any gaps and regenerate if necessary.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6C6FD325" w14:textId="4BC73EBD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in USAS File Archive</w:t>
            </w:r>
          </w:p>
        </w:tc>
      </w:tr>
      <w:tr w:rsidR="00A455A5" w:rsidRPr="00F72E86" w14:paraId="73254D00" w14:textId="190412CD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C6F8F9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64A5D92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EIS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EA269F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Inventory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CD85AEE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Review for any gaps and regenerate if necessary.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C520CBA" w14:textId="3CD86C74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District Preference, zipped files sent to district</w:t>
            </w:r>
          </w:p>
        </w:tc>
      </w:tr>
      <w:tr w:rsidR="00A455A5" w:rsidRPr="00F72E86" w14:paraId="70117C22" w14:textId="02BF15A3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07F275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ABS 101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0ED5D47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PAYROLL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956D122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Attendance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A1B108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Was available in Payroll CD in 2004.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77ADCE6D" w14:textId="172ED185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in USPS File Archive</w:t>
            </w:r>
          </w:p>
        </w:tc>
      </w:tr>
      <w:tr w:rsidR="00A455A5" w:rsidRPr="00F72E86" w14:paraId="3F833A09" w14:textId="61D51EFD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D42AB2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STRS AD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76E2BB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PAYROLL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A2FCE4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STRS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CC952A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 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812B656" w14:textId="7A28A844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in USPS File Archive</w:t>
            </w:r>
          </w:p>
        </w:tc>
      </w:tr>
      <w:tr w:rsidR="00A455A5" w:rsidRPr="00F72E86" w14:paraId="14A7C446" w14:textId="4C627197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6C97167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Calendar Report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102374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CALRPT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A188ED4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B2C117C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This report is not in the PAYCD and would be useful/needed to verify contract or attendance days. The ABS101 has the absence but not attendance (for regular employees) so if someone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was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 looking for attendance the only way to verify would be to look at the calendar.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 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77AC928E" w14:textId="388A2DD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Optional/District Preference</w:t>
            </w:r>
          </w:p>
        </w:tc>
      </w:tr>
      <w:tr w:rsidR="00A455A5" w:rsidRPr="00F72E86" w14:paraId="33B6C6EA" w14:textId="327F5696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3217F95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lastRenderedPageBreak/>
              <w:t>Job History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7283BEA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JOBHIS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E011352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A4EFFC4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Need to preserve Job History. 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5A297BDA" w14:textId="4E92AC91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Optional/District Preference</w:t>
            </w:r>
          </w:p>
        </w:tc>
      </w:tr>
      <w:tr w:rsidR="00A455A5" w:rsidRPr="00F72E86" w14:paraId="4C55A9A2" w14:textId="04813F5A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F9C824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Workman's Comp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A7FCB58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Work Comp and Work Comp1 files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CD9229F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Used to </w:t>
            </w:r>
            <w:proofErr w:type="spell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calc</w:t>
            </w:r>
            <w:proofErr w:type="spell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 district workers comp liability; </w:t>
            </w:r>
            <w:proofErr w:type="spell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Calc</w:t>
            </w:r>
            <w:proofErr w:type="spell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 FY payables on wages paid since Jan. but no paid out. Not sure if ever asked to go back to these files. Only current.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120BA6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No need to preserve beyond current year. 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6D681B69" w14:textId="6BF317C8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Optional/District Preference</w:t>
            </w:r>
          </w:p>
        </w:tc>
      </w:tr>
      <w:tr w:rsidR="00A455A5" w:rsidRPr="00F72E86" w14:paraId="6D11CCE2" w14:textId="4DF0826E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D598CE3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RITA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F7E9C8F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RITA Submission Files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2E03386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E256EA0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Go back six years.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1EC89665" w14:textId="638CF1B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locally at ITC</w:t>
            </w:r>
          </w:p>
        </w:tc>
      </w:tr>
      <w:tr w:rsidR="00A455A5" w:rsidRPr="00F72E86" w14:paraId="4EC58EC2" w14:textId="103E71C4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EDF55B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City Tax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9EA9C9E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City Tax Submission Files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743CBA2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E7D439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Go back six years.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469F3436" w14:textId="3121EB26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locally at ITC</w:t>
            </w:r>
          </w:p>
        </w:tc>
      </w:tr>
      <w:tr w:rsidR="00A455A5" w:rsidRPr="00F72E86" w14:paraId="1E850F99" w14:textId="64A2C472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0292A7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EMIS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9C0D2E7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EMIS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BC85B64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EMIS preservation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066B045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Go back seven years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;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 in data collector after 2015. Districts would have to download any report they wish to preserve. Be sure to include per diem and excess costs.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53573888" w14:textId="56500CC1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District Preference</w:t>
            </w:r>
          </w:p>
        </w:tc>
      </w:tr>
      <w:tr w:rsidR="00A455A5" w:rsidRPr="00F72E86" w14:paraId="40FCBB72" w14:textId="5420A18E" w:rsidTr="002A763F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B433D3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Accounts Receivable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9351E4A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ARF's ARTRAN and ARDETL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124ED9B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0BC4055" w14:textId="77777777" w:rsidR="00A455A5" w:rsidRPr="00F72E86" w:rsidRDefault="00A455A5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Keep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all available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 xml:space="preserve">. Data from these are part of the Redesign extract/export. Reports </w:t>
            </w:r>
            <w:proofErr w:type="gramStart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should be run</w:t>
            </w:r>
            <w:proofErr w:type="gramEnd"/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. 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02E2B0DD" w14:textId="37D59529" w:rsidR="00A455A5" w:rsidRPr="00F72E86" w:rsidRDefault="00346626" w:rsidP="00A455A5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NA</w:t>
            </w:r>
          </w:p>
        </w:tc>
      </w:tr>
    </w:tbl>
    <w:p w14:paraId="46C19FCA" w14:textId="3261F6F5" w:rsidR="00DB18F3" w:rsidRDefault="00DB18F3" w:rsidP="00482B1D">
      <w:pPr>
        <w:rPr>
          <w:rFonts w:asciiTheme="majorHAnsi" w:hAnsiTheme="majorHAnsi" w:cstheme="majorHAnsi"/>
          <w:sz w:val="22"/>
          <w:szCs w:val="22"/>
        </w:rPr>
      </w:pPr>
    </w:p>
    <w:p w14:paraId="734BDCDB" w14:textId="4064C52E" w:rsidR="002A763F" w:rsidRDefault="002A763F" w:rsidP="00482B1D">
      <w:pPr>
        <w:rPr>
          <w:rFonts w:asciiTheme="majorHAnsi" w:hAnsiTheme="majorHAnsi" w:cstheme="majorHAnsi"/>
          <w:sz w:val="22"/>
          <w:szCs w:val="22"/>
        </w:rPr>
      </w:pPr>
    </w:p>
    <w:p w14:paraId="6E97B55F" w14:textId="0CFFB32A" w:rsidR="002A763F" w:rsidRDefault="002A763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8890762" w14:textId="77777777" w:rsidR="002A763F" w:rsidRDefault="002A763F" w:rsidP="00AF60CF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107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473"/>
        <w:gridCol w:w="1772"/>
        <w:gridCol w:w="3703"/>
        <w:gridCol w:w="2409"/>
      </w:tblGrid>
      <w:tr w:rsidR="002A763F" w:rsidRPr="00F72E86" w14:paraId="1B1B5708" w14:textId="77777777" w:rsidTr="00CA7EDA">
        <w:trPr>
          <w:tblHeader/>
        </w:trPr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51BE4C2" w14:textId="77777777" w:rsidR="002A763F" w:rsidRPr="00F72E86" w:rsidRDefault="002A763F" w:rsidP="00CA7EDA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Reports 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A238F04" w14:textId="77777777" w:rsidR="002A763F" w:rsidRPr="00F72E86" w:rsidRDefault="002A763F" w:rsidP="00CA7EDA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Resource 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324A31" w14:textId="77777777" w:rsidR="002A763F" w:rsidRPr="00F72E86" w:rsidRDefault="002A763F" w:rsidP="00CA7EDA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Functions/ Use Cases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552D6A" w14:textId="77777777" w:rsidR="002A763F" w:rsidRPr="00F72E86" w:rsidRDefault="002A763F" w:rsidP="00CA7EDA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Additional Recommendations/Caveats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</w:tcPr>
          <w:p w14:paraId="1BBC1FC4" w14:textId="77777777" w:rsidR="002A763F" w:rsidRPr="00F72E86" w:rsidRDefault="002A763F" w:rsidP="00CA7EDA">
            <w:pP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b/>
                <w:bCs/>
                <w:color w:val="455F6F"/>
                <w:sz w:val="21"/>
                <w:szCs w:val="21"/>
              </w:rPr>
              <w:t>Recommended Archive Location</w:t>
            </w:r>
          </w:p>
        </w:tc>
      </w:tr>
      <w:tr w:rsidR="002A763F" w:rsidRPr="00F72E86" w14:paraId="18684574" w14:textId="77777777" w:rsidTr="00CA7EDA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2E6838F" w14:textId="414262B1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W2 Mast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051BA85" w14:textId="2BC04F3F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W2 Mast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A6D7BA7" w14:textId="02220D33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Sent to Feds and State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2D7F66" w14:textId="7BA21058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Master back six years.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0D7D3BB5" w14:textId="1359E93F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locally at ITC</w:t>
            </w:r>
          </w:p>
        </w:tc>
      </w:tr>
      <w:tr w:rsidR="002A763F" w:rsidRPr="00F72E86" w14:paraId="23A6B18C" w14:textId="77777777" w:rsidTr="00CA7EDA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0356044" w14:textId="6C3957E3" w:rsidR="002A763F" w:rsidRPr="00F72E86" w:rsidRDefault="002A763F" w:rsidP="002A763F">
            <w:pPr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W2s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ABAB293" w14:textId="6EED951A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PAYROLL CD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76168C8" w14:textId="2B7DE72E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Personal W2s 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EFD6512" w14:textId="181A965F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Go back six years.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1A1B4805" w14:textId="34F84F5E" w:rsidR="002A763F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locally at ITC</w:t>
            </w:r>
            <w:r w:rsidR="00A455A5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/On-Base/ USPS File Archive</w:t>
            </w:r>
          </w:p>
        </w:tc>
      </w:tr>
      <w:tr w:rsidR="002A763F" w:rsidRPr="00F72E86" w14:paraId="7FCAAA81" w14:textId="77777777" w:rsidTr="00CA7EDA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DB0FF7A" w14:textId="74EE2C2B" w:rsidR="002A763F" w:rsidRPr="00F72E86" w:rsidRDefault="002A763F" w:rsidP="002A763F">
            <w:pPr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W2 CCA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A45ACA8" w14:textId="702170D1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W2 CCA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3DFD91DB" w14:textId="4DF2043A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Similar to RITA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43D15CD2" w14:textId="5898FA1D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Go back six years.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51E2AB18" w14:textId="1FD81CBC" w:rsidR="002A763F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locally at ITC</w:t>
            </w:r>
          </w:p>
        </w:tc>
      </w:tr>
      <w:tr w:rsidR="002A763F" w:rsidRPr="00F72E86" w14:paraId="7BDB8A4B" w14:textId="77777777" w:rsidTr="00CA7EDA">
        <w:tc>
          <w:tcPr>
            <w:tcW w:w="1427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0C381189" w14:textId="7D8EF9BD" w:rsidR="002A763F" w:rsidRPr="00F72E86" w:rsidRDefault="002A763F" w:rsidP="002A763F">
            <w:pPr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b/>
                <w:bCs/>
                <w:color w:val="172B4D"/>
                <w:sz w:val="21"/>
                <w:szCs w:val="21"/>
              </w:rPr>
              <w:t>1099 Files</w:t>
            </w:r>
          </w:p>
        </w:tc>
        <w:tc>
          <w:tcPr>
            <w:tcW w:w="147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5E05694B" w14:textId="710FB1E8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1099 Submission Files</w:t>
            </w:r>
          </w:p>
        </w:tc>
        <w:tc>
          <w:tcPr>
            <w:tcW w:w="1772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10A548C0" w14:textId="02290101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1099 wages, salaries, and tips</w:t>
            </w:r>
          </w:p>
        </w:tc>
        <w:tc>
          <w:tcPr>
            <w:tcW w:w="370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</w:tcPr>
          <w:p w14:paraId="2FE4B3CF" w14:textId="7A18303E" w:rsidR="002A763F" w:rsidRPr="00F72E86" w:rsidRDefault="002A763F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 w:rsidRPr="00F72E86"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Go back six years.</w:t>
            </w:r>
          </w:p>
        </w:tc>
        <w:tc>
          <w:tcPr>
            <w:tcW w:w="2409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FFFFF"/>
          </w:tcPr>
          <w:p w14:paraId="73D2DFAB" w14:textId="71360AF5" w:rsidR="002A763F" w:rsidRDefault="00A455A5" w:rsidP="002A763F">
            <w:pP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172B4D"/>
                <w:sz w:val="21"/>
                <w:szCs w:val="21"/>
              </w:rPr>
              <w:t>Stored locally at ITC/On-Base/ USAS File Archive</w:t>
            </w:r>
          </w:p>
        </w:tc>
      </w:tr>
    </w:tbl>
    <w:p w14:paraId="5D6BA167" w14:textId="77777777" w:rsidR="002A763F" w:rsidRDefault="002A763F" w:rsidP="00AF60CF">
      <w:pPr>
        <w:rPr>
          <w:rFonts w:asciiTheme="majorHAnsi" w:hAnsiTheme="majorHAnsi" w:cstheme="majorHAnsi"/>
          <w:sz w:val="22"/>
          <w:szCs w:val="22"/>
        </w:rPr>
      </w:pPr>
    </w:p>
    <w:p w14:paraId="0AC3AAFF" w14:textId="4D15EE81" w:rsidR="00AF60CF" w:rsidRPr="002B70B0" w:rsidRDefault="002B70B0" w:rsidP="00AF60CF">
      <w:pPr>
        <w:rPr>
          <w:bCs/>
          <w:lang w:bidi="en-US"/>
        </w:rPr>
      </w:pPr>
      <w:r w:rsidRPr="00032938">
        <w:rPr>
          <w:rFonts w:asciiTheme="majorHAnsi" w:hAnsiTheme="majorHAnsi" w:cstheme="majorHAnsi"/>
          <w:sz w:val="22"/>
          <w:szCs w:val="22"/>
        </w:rPr>
        <w:t xml:space="preserve">Please contact </w:t>
      </w:r>
      <w:r w:rsidR="00817CD8">
        <w:rPr>
          <w:rFonts w:asciiTheme="majorHAnsi" w:hAnsiTheme="majorHAnsi" w:cstheme="majorHAnsi"/>
          <w:sz w:val="22"/>
          <w:szCs w:val="22"/>
        </w:rPr>
        <w:t>MVECA Fiscal Team</w:t>
      </w:r>
      <w:r w:rsidRPr="00032938">
        <w:rPr>
          <w:rFonts w:asciiTheme="majorHAnsi" w:hAnsiTheme="majorHAnsi" w:cstheme="majorHAnsi"/>
          <w:sz w:val="22"/>
          <w:szCs w:val="22"/>
        </w:rPr>
        <w:t xml:space="preserve"> if you have any questions/concerns.</w:t>
      </w:r>
    </w:p>
    <w:p w14:paraId="239B0BA0" w14:textId="5BFFD167" w:rsidR="002B70B0" w:rsidRDefault="002B70B0" w:rsidP="00AF60CF">
      <w:pPr>
        <w:rPr>
          <w:b/>
          <w:bCs/>
          <w:lang w:bidi="en-US"/>
        </w:rPr>
      </w:pPr>
    </w:p>
    <w:p w14:paraId="00113AAF" w14:textId="77777777" w:rsidR="00817CD8" w:rsidRDefault="00817CD8" w:rsidP="00AF60CF">
      <w:pPr>
        <w:rPr>
          <w:b/>
          <w:bCs/>
          <w:lang w:bidi="en-US"/>
        </w:rPr>
      </w:pPr>
    </w:p>
    <w:p w14:paraId="6DCD3FF9" w14:textId="227BC97F" w:rsidR="00032938" w:rsidRPr="005B5DD0" w:rsidRDefault="00DD750B" w:rsidP="00032938">
      <w:pPr>
        <w:rPr>
          <w:b/>
          <w:bCs/>
          <w:lang w:bidi="en-US"/>
        </w:rPr>
      </w:pPr>
      <w:r>
        <w:rPr>
          <w:b/>
          <w:bCs/>
          <w:lang w:bidi="en-US"/>
        </w:rPr>
        <w:t>MIAMI VALLEY EDUCATIONAL COMPUTER ASSOCIATION</w:t>
      </w:r>
    </w:p>
    <w:p w14:paraId="761C2B7D" w14:textId="77777777" w:rsidR="00032938" w:rsidRPr="005B5DD0" w:rsidRDefault="00032938" w:rsidP="00032938">
      <w:pPr>
        <w:rPr>
          <w:lang w:bidi="en-US"/>
        </w:rPr>
      </w:pPr>
    </w:p>
    <w:p w14:paraId="31BD5A50" w14:textId="77777777" w:rsidR="00032938" w:rsidRPr="005B5DD0" w:rsidRDefault="00032938" w:rsidP="00032938">
      <w:pPr>
        <w:rPr>
          <w:lang w:bidi="en-US"/>
        </w:rPr>
      </w:pPr>
      <w:r w:rsidRPr="005B5DD0">
        <w:rPr>
          <w:lang w:bidi="en-US"/>
        </w:rPr>
        <w:t xml:space="preserve">By: </w:t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lang w:bidi="en-US"/>
        </w:rPr>
        <w:tab/>
      </w:r>
    </w:p>
    <w:p w14:paraId="483E8B4D" w14:textId="77777777" w:rsidR="00032938" w:rsidRPr="005B5DD0" w:rsidRDefault="00032938" w:rsidP="00032938">
      <w:pPr>
        <w:rPr>
          <w:u w:val="single"/>
          <w:lang w:bidi="en-US"/>
        </w:rPr>
      </w:pPr>
    </w:p>
    <w:p w14:paraId="2272D374" w14:textId="77777777" w:rsidR="00032938" w:rsidRPr="005B5DD0" w:rsidRDefault="00032938" w:rsidP="00032938">
      <w:pPr>
        <w:rPr>
          <w:lang w:bidi="en-US"/>
        </w:rPr>
      </w:pPr>
      <w:r w:rsidRPr="005B5DD0">
        <w:rPr>
          <w:lang w:bidi="en-US"/>
        </w:rPr>
        <w:t>Name:</w:t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lang w:bidi="en-US"/>
        </w:rPr>
        <w:tab/>
      </w:r>
    </w:p>
    <w:p w14:paraId="2A26D1BF" w14:textId="77777777" w:rsidR="00032938" w:rsidRPr="005B5DD0" w:rsidRDefault="00032938" w:rsidP="00032938">
      <w:pPr>
        <w:rPr>
          <w:u w:val="single"/>
          <w:lang w:bidi="en-US"/>
        </w:rPr>
      </w:pPr>
    </w:p>
    <w:p w14:paraId="2E49669A" w14:textId="77777777" w:rsidR="00032938" w:rsidRPr="005B5DD0" w:rsidRDefault="00032938" w:rsidP="00032938">
      <w:pPr>
        <w:rPr>
          <w:u w:val="single"/>
          <w:lang w:bidi="en-US"/>
        </w:rPr>
      </w:pPr>
      <w:r w:rsidRPr="005B5DD0">
        <w:rPr>
          <w:lang w:bidi="en-US"/>
        </w:rPr>
        <w:t>Title:</w:t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lang w:bidi="en-US"/>
        </w:rPr>
        <w:tab/>
      </w:r>
    </w:p>
    <w:p w14:paraId="50F1F018" w14:textId="77777777" w:rsidR="00032938" w:rsidRPr="005B5DD0" w:rsidRDefault="00032938" w:rsidP="00032938">
      <w:pPr>
        <w:rPr>
          <w:u w:val="single"/>
          <w:lang w:bidi="en-US"/>
        </w:rPr>
      </w:pPr>
    </w:p>
    <w:p w14:paraId="6C94B3DD" w14:textId="77777777" w:rsidR="00032938" w:rsidRPr="00F762BB" w:rsidRDefault="00032938" w:rsidP="00032938">
      <w:pPr>
        <w:rPr>
          <w:rFonts w:asciiTheme="majorHAnsi" w:hAnsiTheme="majorHAnsi" w:cstheme="majorHAnsi"/>
          <w:sz w:val="22"/>
          <w:szCs w:val="22"/>
        </w:rPr>
      </w:pPr>
      <w:r w:rsidRPr="005B5DD0">
        <w:rPr>
          <w:lang w:bidi="en-US"/>
        </w:rPr>
        <w:t>Date:</w:t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u w:val="single"/>
          <w:lang w:bidi="en-US"/>
        </w:rPr>
        <w:tab/>
      </w:r>
      <w:r w:rsidRPr="005B5DD0">
        <w:rPr>
          <w:lang w:bidi="en-US"/>
        </w:rPr>
        <w:tab/>
      </w:r>
    </w:p>
    <w:p w14:paraId="67C64EF8" w14:textId="77777777" w:rsidR="00032938" w:rsidRDefault="00032938" w:rsidP="00AF60CF">
      <w:pPr>
        <w:rPr>
          <w:b/>
          <w:bCs/>
          <w:lang w:bidi="en-US"/>
        </w:rPr>
      </w:pPr>
    </w:p>
    <w:sectPr w:rsidR="00032938" w:rsidSect="00F72E86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ED362" w14:textId="77777777" w:rsidR="00CE5760" w:rsidRDefault="00CE5760" w:rsidP="00EC7708">
      <w:r>
        <w:separator/>
      </w:r>
    </w:p>
  </w:endnote>
  <w:endnote w:type="continuationSeparator" w:id="0">
    <w:p w14:paraId="516315A7" w14:textId="77777777" w:rsidR="00CE5760" w:rsidRDefault="00CE5760" w:rsidP="00EC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B834F" w14:textId="77777777" w:rsidR="00CE5760" w:rsidRDefault="00CE5760" w:rsidP="00EC7708">
      <w:r>
        <w:separator/>
      </w:r>
    </w:p>
  </w:footnote>
  <w:footnote w:type="continuationSeparator" w:id="0">
    <w:p w14:paraId="3D404ADD" w14:textId="77777777" w:rsidR="00CE5760" w:rsidRDefault="00CE5760" w:rsidP="00EC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8EA47" w14:textId="72AD7BD6" w:rsidR="00CE5760" w:rsidRDefault="00CE5760" w:rsidP="0038083F">
    <w:pPr>
      <w:pStyle w:val="Header"/>
      <w:tabs>
        <w:tab w:val="clear" w:pos="4320"/>
        <w:tab w:val="clear" w:pos="8640"/>
      </w:tabs>
      <w:ind w:left="-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225"/>
    <w:multiLevelType w:val="hybridMultilevel"/>
    <w:tmpl w:val="4C8AB0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A80D93"/>
    <w:multiLevelType w:val="hybridMultilevel"/>
    <w:tmpl w:val="C070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MrAwMTA2AZIWlko6SsGpxcWZ+XkgBUa1AIkX6FEsAAAA"/>
  </w:docVars>
  <w:rsids>
    <w:rsidRoot w:val="00EC7708"/>
    <w:rsid w:val="00032938"/>
    <w:rsid w:val="000356D8"/>
    <w:rsid w:val="000D110C"/>
    <w:rsid w:val="000E7303"/>
    <w:rsid w:val="00195D46"/>
    <w:rsid w:val="00196EA9"/>
    <w:rsid w:val="001F391A"/>
    <w:rsid w:val="00206775"/>
    <w:rsid w:val="00233654"/>
    <w:rsid w:val="0028516A"/>
    <w:rsid w:val="002908AC"/>
    <w:rsid w:val="002A763F"/>
    <w:rsid w:val="002B2F06"/>
    <w:rsid w:val="002B70B0"/>
    <w:rsid w:val="00306B95"/>
    <w:rsid w:val="00333970"/>
    <w:rsid w:val="00346626"/>
    <w:rsid w:val="003723B6"/>
    <w:rsid w:val="0038083F"/>
    <w:rsid w:val="003E7CEA"/>
    <w:rsid w:val="00420606"/>
    <w:rsid w:val="0047040C"/>
    <w:rsid w:val="00482B1D"/>
    <w:rsid w:val="004B7744"/>
    <w:rsid w:val="00565B5C"/>
    <w:rsid w:val="0064220D"/>
    <w:rsid w:val="006E01EE"/>
    <w:rsid w:val="006E08F1"/>
    <w:rsid w:val="00773EEB"/>
    <w:rsid w:val="007B06F9"/>
    <w:rsid w:val="00817CD8"/>
    <w:rsid w:val="00825B8B"/>
    <w:rsid w:val="00840E8E"/>
    <w:rsid w:val="00890247"/>
    <w:rsid w:val="008A5A38"/>
    <w:rsid w:val="008B1B95"/>
    <w:rsid w:val="008D22E5"/>
    <w:rsid w:val="009641B7"/>
    <w:rsid w:val="00965BF0"/>
    <w:rsid w:val="00A20D18"/>
    <w:rsid w:val="00A455A5"/>
    <w:rsid w:val="00AB154D"/>
    <w:rsid w:val="00AF4092"/>
    <w:rsid w:val="00AF60CF"/>
    <w:rsid w:val="00B91EA5"/>
    <w:rsid w:val="00BD25EA"/>
    <w:rsid w:val="00BE7B29"/>
    <w:rsid w:val="00BF7555"/>
    <w:rsid w:val="00C12C01"/>
    <w:rsid w:val="00C37B47"/>
    <w:rsid w:val="00C76A54"/>
    <w:rsid w:val="00CB046B"/>
    <w:rsid w:val="00CD6DA1"/>
    <w:rsid w:val="00CE5760"/>
    <w:rsid w:val="00D418EA"/>
    <w:rsid w:val="00D4201E"/>
    <w:rsid w:val="00DB18F3"/>
    <w:rsid w:val="00DD750B"/>
    <w:rsid w:val="00DF31E3"/>
    <w:rsid w:val="00E417F3"/>
    <w:rsid w:val="00EA4316"/>
    <w:rsid w:val="00EB1940"/>
    <w:rsid w:val="00EC7708"/>
    <w:rsid w:val="00EE7661"/>
    <w:rsid w:val="00F25FD9"/>
    <w:rsid w:val="00F52546"/>
    <w:rsid w:val="00F72E86"/>
    <w:rsid w:val="00F762BB"/>
    <w:rsid w:val="00F77294"/>
    <w:rsid w:val="00FE61FA"/>
    <w:rsid w:val="00FE6C7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5FB21BE9"/>
  <w14:defaultImageDpi w14:val="300"/>
  <w15:docId w15:val="{6070E8C6-74C9-4957-8C63-B6E394A9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B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B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7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708"/>
  </w:style>
  <w:style w:type="paragraph" w:styleId="Footer">
    <w:name w:val="footer"/>
    <w:basedOn w:val="Normal"/>
    <w:link w:val="FooterChar"/>
    <w:uiPriority w:val="99"/>
    <w:unhideWhenUsed/>
    <w:rsid w:val="00EC77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708"/>
  </w:style>
  <w:style w:type="paragraph" w:styleId="BalloonText">
    <w:name w:val="Balloon Text"/>
    <w:basedOn w:val="Normal"/>
    <w:link w:val="BalloonTextChar"/>
    <w:uiPriority w:val="99"/>
    <w:semiHidden/>
    <w:unhideWhenUsed/>
    <w:rsid w:val="00EC77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0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82B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2B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B1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64220D"/>
    <w:pPr>
      <w:ind w:left="720"/>
      <w:contextualSpacing/>
    </w:pPr>
  </w:style>
  <w:style w:type="paragraph" w:customStyle="1" w:styleId="Default">
    <w:name w:val="Default"/>
    <w:rsid w:val="00196EA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59"/>
    <w:rsid w:val="0096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Sandman</dc:creator>
  <cp:keywords/>
  <dc:description/>
  <cp:lastModifiedBy>Ashley May</cp:lastModifiedBy>
  <cp:revision>2</cp:revision>
  <cp:lastPrinted>2022-05-13T18:21:00Z</cp:lastPrinted>
  <dcterms:created xsi:type="dcterms:W3CDTF">2023-02-07T13:24:00Z</dcterms:created>
  <dcterms:modified xsi:type="dcterms:W3CDTF">2023-02-07T13:24:00Z</dcterms:modified>
</cp:coreProperties>
</file>